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D751F" w:rsidRDefault="006D751F" w:rsidP="006D751F">
      <w:pPr>
        <w:pStyle w:val="Heading1"/>
        <w:ind w:left="2268" w:hanging="2268"/>
      </w:pPr>
      <w:r>
        <w:t>TITLE:</w:t>
      </w:r>
      <w:r>
        <w:tab/>
      </w:r>
      <w:r w:rsidR="008C131D">
        <w:fldChar w:fldCharType="begin"/>
      </w:r>
      <w:r w:rsidR="008C131D">
        <w:instrText xml:space="preserve"> DOCPROPERTY  DWDocPrecis  \* MERGEFORMAT </w:instrText>
      </w:r>
      <w:r w:rsidR="008C131D">
        <w:fldChar w:fldCharType="separate"/>
      </w:r>
      <w:r w:rsidR="008C131D">
        <w:t>[PR-CM] Development Application DA10/0222.26 for an Amendment to Development Consent DA10/0222 for Casuarina Town Centre Including 56 Lot Subdivision, Road Works, Infrastructure Works and Landscaping (Department of Planning Application MP06_0258) MOD 10 a</w:t>
      </w:r>
      <w:r w:rsidR="008C131D">
        <w:fldChar w:fldCharType="end"/>
      </w:r>
      <w:r>
        <w:t>t Lot 15 DP 1198266 &amp; Lot 13 DP 1014470 Casuarina Way, Casuarina</w:t>
      </w:r>
    </w:p>
    <w:p w:rsidR="006D751F" w:rsidRPr="00DD3D4F" w:rsidRDefault="006D751F" w:rsidP="006D751F">
      <w:pPr>
        <w:pStyle w:val="Heading2"/>
      </w:pPr>
      <w:r w:rsidRPr="00A97E69">
        <w:t>SUBMITTED BY:</w:t>
      </w:r>
      <w:r w:rsidRPr="00DD3D4F">
        <w:tab/>
      </w:r>
      <w:r>
        <w:t>Development Assessment and Compliance</w:t>
      </w:r>
    </w:p>
    <w:p w:rsidR="006D751F" w:rsidRPr="00A139F2" w:rsidRDefault="006D751F" w:rsidP="006D751F"/>
    <w:p w:rsidR="006D751F" w:rsidRPr="00BC6676" w:rsidRDefault="006D751F" w:rsidP="006D751F">
      <w:pPr>
        <w:pBdr>
          <w:bottom w:val="single" w:sz="24" w:space="1" w:color="808080" w:themeColor="background1" w:themeShade="80"/>
        </w:pBdr>
        <w:ind w:left="567" w:hanging="567"/>
        <w:rPr>
          <w:color w:val="FF0000"/>
          <w:sz w:val="8"/>
        </w:rPr>
      </w:pPr>
    </w:p>
    <w:p w:rsidR="006D751F" w:rsidRDefault="006D751F" w:rsidP="006D751F"/>
    <w:p w:rsidR="006D751F" w:rsidRDefault="006D751F" w:rsidP="006D751F">
      <w:pPr>
        <w:tabs>
          <w:tab w:val="left" w:pos="851"/>
          <w:tab w:val="left" w:pos="1701"/>
        </w:tabs>
        <w:spacing w:before="32"/>
        <w:ind w:left="214" w:right="-76"/>
      </w:pPr>
      <w:r>
        <w:rPr>
          <w:noProof/>
          <w:lang w:eastAsia="en-AU"/>
        </w:rPr>
        <mc:AlternateContent>
          <mc:Choice Requires="wps">
            <w:drawing>
              <wp:anchor distT="0" distB="0" distL="114300" distR="114300" simplePos="0" relativeHeight="251659264" behindDoc="0" locked="0" layoutInCell="1" allowOverlap="1" wp14:anchorId="26504F16" wp14:editId="71F6D262">
                <wp:simplePos x="0" y="0"/>
                <wp:positionH relativeFrom="column">
                  <wp:posOffset>708409</wp:posOffset>
                </wp:positionH>
                <wp:positionV relativeFrom="paragraph">
                  <wp:posOffset>50046</wp:posOffset>
                </wp:positionV>
                <wp:extent cx="3908425" cy="446740"/>
                <wp:effectExtent l="0" t="0" r="0" b="0"/>
                <wp:wrapNone/>
                <wp:docPr id="340" name="Text Box 340"/>
                <wp:cNvGraphicFramePr/>
                <a:graphic xmlns:a="http://schemas.openxmlformats.org/drawingml/2006/main">
                  <a:graphicData uri="http://schemas.microsoft.com/office/word/2010/wordprocessingShape">
                    <wps:wsp>
                      <wps:cNvSpPr txBox="1"/>
                      <wps:spPr>
                        <a:xfrm>
                          <a:off x="0" y="0"/>
                          <a:ext cx="3908425" cy="4467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4D6926" w:rsidRDefault="004D6926" w:rsidP="006D751F">
                            <w:pPr>
                              <w:rPr>
                                <w:rFonts w:ascii="Arial Black" w:hAnsi="Arial Black"/>
                                <w:b/>
                                <w:color w:val="FFFFFF" w:themeColor="background1"/>
                              </w:rPr>
                            </w:pPr>
                            <w:r>
                              <w:rPr>
                                <w:rFonts w:ascii="Arial Black" w:hAnsi="Arial Black"/>
                                <w:b/>
                                <w:color w:val="FFFFFF" w:themeColor="background1"/>
                              </w:rPr>
                              <w:t>Making decisions with you</w:t>
                            </w:r>
                          </w:p>
                          <w:p w:rsidR="004D6926" w:rsidRPr="004F766C" w:rsidRDefault="004D6926" w:rsidP="006D751F">
                            <w:pPr>
                              <w:rPr>
                                <w:color w:val="FFFFFF" w:themeColor="background1"/>
                              </w:rPr>
                            </w:pPr>
                            <w:r>
                              <w:rPr>
                                <w:i/>
                                <w:color w:val="FFFFFF" w:themeColor="background1"/>
                                <w:sz w:val="18"/>
                              </w:rPr>
                              <w:t>We're in this together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40" o:spid="_x0000_s1026" type="#_x0000_t202" style="position:absolute;left:0;text-align:left;margin-left:55.8pt;margin-top:3.95pt;width:307.75pt;height:35.2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" filled="f" stroked="f" strokeweight=".5pt">
                <v:textbox>
                  <w:txbxContent>
                    <w:p w:rsidR="004D6926" w:rsidRDefault="004D6926" w:rsidP="006D751F">
                      <w:pPr>
                        <w:rPr>
                          <w:rFonts w:ascii="Arial Black" w:hAnsi="Arial Black"/>
                          <w:b/>
                          <w:color w:val="FFFFFF" w:themeColor="background1"/>
                        </w:rPr>
                      </w:pPr>
                      <w:r>
                        <w:rPr>
                          <w:rFonts w:ascii="Arial Black" w:hAnsi="Arial Black"/>
                          <w:b/>
                          <w:color w:val="FFFFFF" w:themeColor="background1"/>
                        </w:rPr>
                        <w:t>Making decisions with you</w:t>
                      </w:r>
                    </w:p>
                    <w:p w:rsidR="004D6926" w:rsidRPr="004F766C" w:rsidRDefault="004D6926" w:rsidP="006D751F">
                      <w:pPr>
                        <w:rPr>
                          <w:color w:val="FFFFFF" w:themeColor="background1"/>
                        </w:rPr>
                      </w:pPr>
                      <w:r>
                        <w:rPr>
                          <w:i/>
                          <w:color w:val="FFFFFF" w:themeColor="background1"/>
                          <w:sz w:val="18"/>
                        </w:rPr>
                        <w:t>We're in this together</w:t>
                      </w:r>
                    </w:p>
                  </w:txbxContent>
                </v:textbox>
              </v:shape>
            </w:pict>
          </mc:Fallback>
        </mc:AlternateContent>
      </w:r>
      <w:r w:rsidRPr="00342B8A">
        <w:rPr>
          <w:noProof/>
          <w:lang w:eastAsia="en-AU"/>
        </w:rPr>
        <w:drawing>
          <wp:inline distT="0" distB="0" distL="0" distR="0" wp14:anchorId="24F2002D" wp14:editId="72FD7A83">
            <wp:extent cx="512466" cy="477297"/>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8937"/>
                    <a:stretch/>
                  </pic:blipFill>
                  <pic:spPr bwMode="auto">
                    <a:xfrm>
                      <a:off x="0" y="0"/>
                      <a:ext cx="512466" cy="47729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eastAsia="en-AU"/>
        </w:rPr>
        <mc:AlternateContent>
          <mc:Choice Requires="wps">
            <w:drawing>
              <wp:inline distT="0" distB="0" distL="0" distR="0" wp14:anchorId="0151EE54" wp14:editId="3F30AE02">
                <wp:extent cx="4031615" cy="477073"/>
                <wp:effectExtent l="0" t="0" r="6985" b="0"/>
                <wp:docPr id="325" name="Freeform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31615" cy="477073"/>
                        </a:xfrm>
                        <a:custGeom>
                          <a:avLst/>
                          <a:gdLst>
                            <a:gd name="T0" fmla="*/ 6008 w 6008"/>
                            <a:gd name="T1" fmla="*/ 0 h 661"/>
                            <a:gd name="T2" fmla="*/ 162 w 6008"/>
                            <a:gd name="T3" fmla="*/ 0 h 661"/>
                            <a:gd name="T4" fmla="*/ 125 w 6008"/>
                            <a:gd name="T5" fmla="*/ 0 h 661"/>
                            <a:gd name="T6" fmla="*/ 48 w 6008"/>
                            <a:gd name="T7" fmla="*/ 6 h 661"/>
                            <a:gd name="T8" fmla="*/ 7 w 6008"/>
                            <a:gd name="T9" fmla="*/ 47 h 661"/>
                            <a:gd name="T10" fmla="*/ 1 w 6008"/>
                            <a:gd name="T11" fmla="*/ 123 h 661"/>
                            <a:gd name="T12" fmla="*/ 0 w 6008"/>
                            <a:gd name="T13" fmla="*/ 661 h 661"/>
                            <a:gd name="T14" fmla="*/ 5885 w 6008"/>
                            <a:gd name="T15" fmla="*/ 661 h 661"/>
                            <a:gd name="T16" fmla="*/ 5961 w 6008"/>
                            <a:gd name="T17" fmla="*/ 655 h 661"/>
                            <a:gd name="T18" fmla="*/ 6003 w 6008"/>
                            <a:gd name="T19" fmla="*/ 614 h 661"/>
                            <a:gd name="T20" fmla="*/ 6008 w 6008"/>
                            <a:gd name="T21" fmla="*/ 538 h 661"/>
                            <a:gd name="T22" fmla="*/ 6008 w 6008"/>
                            <a:gd name="T23" fmla="*/ 0 h 66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6008" h="661">
                              <a:moveTo>
                                <a:pt x="6008" y="0"/>
                              </a:moveTo>
                              <a:lnTo>
                                <a:pt x="162" y="0"/>
                              </a:lnTo>
                              <a:lnTo>
                                <a:pt x="125" y="0"/>
                              </a:lnTo>
                              <a:lnTo>
                                <a:pt x="48" y="6"/>
                              </a:lnTo>
                              <a:lnTo>
                                <a:pt x="7" y="47"/>
                              </a:lnTo>
                              <a:lnTo>
                                <a:pt x="1" y="123"/>
                              </a:lnTo>
                              <a:lnTo>
                                <a:pt x="0" y="661"/>
                              </a:lnTo>
                              <a:lnTo>
                                <a:pt x="5885" y="661"/>
                              </a:lnTo>
                              <a:lnTo>
                                <a:pt x="5961" y="655"/>
                              </a:lnTo>
                              <a:lnTo>
                                <a:pt x="6003" y="614"/>
                              </a:lnTo>
                              <a:lnTo>
                                <a:pt x="6008" y="538"/>
                              </a:lnTo>
                              <a:lnTo>
                                <a:pt x="6008" y="0"/>
                              </a:lnTo>
                              <a:close/>
                            </a:path>
                          </a:pathLst>
                        </a:custGeom>
                        <a:solidFill>
                          <a:srgbClr val="569BBE"/>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inline>
            </w:drawing>
          </mc:Choice>
          <mc:Fallback>
            <w:pict>
              <v:shape id="Freeform 301" o:spid="_x0000_s1026" style="width:317.45pt;height:37.55pt;visibility:visible;mso-wrap-style:square;mso-left-percent:-10001;mso-top-percent:-10001;mso-position-horizontal:absolute;mso-position-horizontal-relative:char;mso-position-vertical:absolute;mso-position-vertical-relative:line;mso-left-percent:-10001;mso-top-percent:-10001;v-text-anchor:top" coordsize="6008,6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" path="m6008,l162,,125,,48,6,7,47,1,123,,661r5885,l5961,655r42,-41l6008,538,6008,xe" fillcolor="#569bbe" stroked="f">
                <v:path arrowok="t" o:connecttype="custom" o:connectlocs="4031615,0;108709,0;83880,0;32210,4330;4697,33922;671,88775;0,477073;3949077,477073;4000076,472743;4028260,443151;4031615,388298;4031615,0" o:connectangles="0,0,0,0,0,0,0,0,0,0,0,0"/>
                <w10:anchorlock/>
              </v:shape>
            </w:pict>
          </mc:Fallback>
        </mc:AlternateContent>
      </w:r>
    </w:p>
    <w:p w:rsidR="006D751F" w:rsidRDefault="006D751F" w:rsidP="006D751F"/>
    <w:p w:rsidR="006D751F" w:rsidRPr="00962C7E" w:rsidRDefault="006D751F" w:rsidP="006D751F">
      <w:pPr>
        <w:spacing w:after="120"/>
        <w:rPr>
          <w:b/>
          <w:sz w:val="22"/>
        </w:rPr>
      </w:pPr>
      <w:r w:rsidRPr="00962C7E">
        <w:rPr>
          <w:b/>
          <w:sz w:val="22"/>
        </w:rPr>
        <w:t>LINKAGE TO INTEGRATED PLANNING AND REPORTING FRAMEWORK:</w:t>
      </w:r>
    </w:p>
    <w:tbl>
      <w:tblPr>
        <w:tblW w:w="5000" w:type="pct"/>
        <w:tblLook w:val="0000" w:firstRow="0" w:lastRow="0" w:firstColumn="0" w:lastColumn="0" w:noHBand="0" w:noVBand="0"/>
      </w:tblPr>
      <w:tblGrid>
        <w:gridCol w:w="1353"/>
        <w:gridCol w:w="7889"/>
      </w:tblGrid>
      <w:tr w:rsidR="006D751F" w:rsidTr="00117622">
        <w:tc>
          <w:tcPr>
            <w:tcW w:w="732" w:type="pct"/>
          </w:tcPr>
          <w:p w:rsidR="006D751F" w:rsidRDefault="006D751F" w:rsidP="00117622">
            <w:pPr>
              <w:rPr>
                <w:sz w:val="22"/>
                <w:vertAlign w:val="superscript"/>
              </w:rPr>
            </w:pPr>
            <w:r>
              <w:rPr>
                <w:sz w:val="22"/>
                <w:vertAlign w:val="superscript"/>
              </w:rPr>
              <w:t>2</w:t>
            </w:r>
          </w:p>
        </w:tc>
        <w:tc>
          <w:tcPr>
            <w:tcW w:w="4268" w:type="pct"/>
          </w:tcPr>
          <w:p w:rsidR="006D751F" w:rsidRDefault="006D751F" w:rsidP="00117622">
            <w:pPr>
              <w:rPr>
                <w:sz w:val="22"/>
                <w:vertAlign w:val="superscript"/>
              </w:rPr>
            </w:pPr>
            <w:r>
              <w:rPr>
                <w:sz w:val="22"/>
                <w:vertAlign w:val="superscript"/>
              </w:rPr>
              <w:t>Making decisions with you</w:t>
            </w:r>
          </w:p>
        </w:tc>
      </w:tr>
      <w:tr w:rsidR="006D751F" w:rsidTr="00117622">
        <w:tc>
          <w:tcPr>
            <w:tcW w:w="732" w:type="pct"/>
          </w:tcPr>
          <w:p w:rsidR="006D751F" w:rsidRDefault="006D751F" w:rsidP="00117622">
            <w:pPr>
              <w:rPr>
                <w:sz w:val="22"/>
                <w:vertAlign w:val="superscript"/>
              </w:rPr>
            </w:pPr>
            <w:r>
              <w:rPr>
                <w:sz w:val="22"/>
                <w:vertAlign w:val="superscript"/>
              </w:rPr>
              <w:t>2.1</w:t>
            </w:r>
          </w:p>
        </w:tc>
        <w:tc>
          <w:tcPr>
            <w:tcW w:w="4268" w:type="pct"/>
          </w:tcPr>
          <w:p w:rsidR="006D751F" w:rsidRDefault="006D751F" w:rsidP="00117622">
            <w:pPr>
              <w:rPr>
                <w:sz w:val="22"/>
                <w:vertAlign w:val="superscript"/>
              </w:rPr>
            </w:pPr>
            <w:r>
              <w:rPr>
                <w:sz w:val="22"/>
                <w:vertAlign w:val="superscript"/>
              </w:rPr>
              <w:t>Built Environment</w:t>
            </w:r>
          </w:p>
        </w:tc>
      </w:tr>
      <w:tr w:rsidR="006D751F" w:rsidTr="00117622">
        <w:tc>
          <w:tcPr>
            <w:tcW w:w="732" w:type="pct"/>
          </w:tcPr>
          <w:p w:rsidR="006D751F" w:rsidRDefault="006D751F" w:rsidP="00117622">
            <w:pPr>
              <w:rPr>
                <w:sz w:val="22"/>
                <w:vertAlign w:val="superscript"/>
              </w:rPr>
            </w:pPr>
            <w:r>
              <w:rPr>
                <w:sz w:val="22"/>
                <w:vertAlign w:val="superscript"/>
              </w:rPr>
              <w:t>2.1.2</w:t>
            </w:r>
          </w:p>
        </w:tc>
        <w:tc>
          <w:tcPr>
            <w:tcW w:w="4268" w:type="pct"/>
          </w:tcPr>
          <w:p w:rsidR="006D751F" w:rsidRDefault="006D751F" w:rsidP="00117622">
            <w:pPr>
              <w:rPr>
                <w:sz w:val="22"/>
                <w:vertAlign w:val="superscript"/>
              </w:rPr>
            </w:pPr>
            <w:r>
              <w:rPr>
                <w:sz w:val="22"/>
                <w:vertAlign w:val="superscript"/>
              </w:rPr>
              <w:t>Development Assessment - To assess development applications lodged with Council to achieve quality land use outcomes and to assist people to understand the development process.</w:t>
            </w:r>
          </w:p>
        </w:tc>
      </w:tr>
    </w:tbl>
    <w:p w:rsidR="006D751F" w:rsidRDefault="006D751F" w:rsidP="006D751F">
      <w:pPr>
        <w:rPr>
          <w:sz w:val="22"/>
          <w:vertAlign w:val="superscript"/>
        </w:rPr>
      </w:pPr>
    </w:p>
    <w:p w:rsidR="006D751F" w:rsidRDefault="006D751F" w:rsidP="006D751F">
      <w:pPr>
        <w:rPr>
          <w:b/>
          <w:sz w:val="22"/>
        </w:rPr>
      </w:pPr>
      <w:r w:rsidRPr="00147F97">
        <w:rPr>
          <w:b/>
          <w:sz w:val="22"/>
        </w:rPr>
        <w:t>ROLE:</w:t>
      </w:r>
      <w:r>
        <w:rPr>
          <w:b/>
          <w:sz w:val="22"/>
        </w:rPr>
        <w:tab/>
      </w:r>
      <w:r w:rsidRPr="00170239">
        <w:rPr>
          <w:b/>
          <w:sz w:val="22"/>
        </w:rPr>
        <w:t xml:space="preserve"> </w:t>
      </w:r>
      <w:r w:rsidRPr="00170239">
        <w:rPr>
          <w:b/>
          <w:color w:val="FFFFFF" w:themeColor="background1"/>
          <w:sz w:val="22"/>
          <w:shd w:val="clear" w:color="auto" w:fill="FFC000"/>
        </w:rPr>
        <w:t>Provider</w:t>
      </w:r>
      <w:r w:rsidRPr="00170239">
        <w:rPr>
          <w:b/>
          <w:sz w:val="22"/>
        </w:rPr>
        <w:t xml:space="preserve">  </w:t>
      </w:r>
    </w:p>
    <w:p w:rsidR="006D751F" w:rsidRPr="00962C7E" w:rsidRDefault="006D751F" w:rsidP="006D751F">
      <w:pPr>
        <w:rPr>
          <w:sz w:val="22"/>
          <w:vertAlign w:val="superscript"/>
        </w:rPr>
      </w:pPr>
    </w:p>
    <w:p w:rsidR="00610495" w:rsidRPr="002F0190" w:rsidRDefault="00610495" w:rsidP="00610495">
      <w:pPr>
        <w:pBdr>
          <w:top w:val="single" w:sz="24" w:space="1" w:color="808080" w:themeColor="background1" w:themeShade="80"/>
        </w:pBdr>
        <w:rPr>
          <w:sz w:val="2"/>
          <w:szCs w:val="2"/>
        </w:rPr>
      </w:pPr>
    </w:p>
    <w:p w:rsidR="00610495" w:rsidRDefault="00610495" w:rsidP="00610495">
      <w:pPr>
        <w:pStyle w:val="Heading2"/>
        <w:keepNext w:val="0"/>
      </w:pPr>
      <w:r>
        <w:t>SUMMARY OF REPORT:</w:t>
      </w:r>
    </w:p>
    <w:p w:rsidR="00610495" w:rsidRPr="00D46B4D" w:rsidRDefault="004C15A3" w:rsidP="00610495">
      <w:pPr>
        <w:spacing w:after="120"/>
        <w:rPr>
          <w:highlight w:val="yellow"/>
        </w:rPr>
      </w:pPr>
      <w:r>
        <w:t>T</w:t>
      </w:r>
      <w:r w:rsidR="00610495" w:rsidRPr="00D46B4D">
        <w:t>his report has been prepared to provide Council with</w:t>
      </w:r>
      <w:r w:rsidR="0036525F">
        <w:t xml:space="preserve"> technical advice to inform a Council submission</w:t>
      </w:r>
      <w:r w:rsidR="00610495" w:rsidRPr="00D46B4D">
        <w:t xml:space="preserve"> in relation to the proposed modifications to the approved Concept Approval and Project Approval for the Casuarina Town Centre development (</w:t>
      </w:r>
      <w:r w:rsidR="00610495">
        <w:t>MP06_0258)</w:t>
      </w:r>
      <w:r w:rsidR="00610495" w:rsidRPr="00D46B4D">
        <w:t>.</w:t>
      </w:r>
    </w:p>
    <w:p w:rsidR="00511905" w:rsidRDefault="00610495" w:rsidP="00610495">
      <w:pPr>
        <w:rPr>
          <w:lang w:eastAsia="en-AU"/>
        </w:rPr>
      </w:pPr>
      <w:r w:rsidRPr="00D46B4D">
        <w:t xml:space="preserve">A modification application (Section 75W) </w:t>
      </w:r>
      <w:r w:rsidR="00F9418E">
        <w:t>was</w:t>
      </w:r>
      <w:r w:rsidRPr="00D46B4D">
        <w:t xml:space="preserve"> lodged with NSW Department of Planning &amp; Environment to modify the Concept Plan and Project Approval for MP</w:t>
      </w:r>
      <w:r w:rsidRPr="00D46B4D">
        <w:rPr>
          <w:lang w:eastAsia="en-AU"/>
        </w:rPr>
        <w:t>06_0258</w:t>
      </w:r>
      <w:r w:rsidR="00511905">
        <w:rPr>
          <w:lang w:eastAsia="en-AU"/>
        </w:rPr>
        <w:t xml:space="preserve"> in early 2016. This was placed on exhibition and a number of issues were raised with the revised proposal by Tweed Shire Council officers and members of the public who provided submissions to </w:t>
      </w:r>
      <w:r w:rsidR="00511905" w:rsidRPr="00D46B4D">
        <w:t>NSW Department of Planning &amp; Environment</w:t>
      </w:r>
      <w:r w:rsidR="00511905">
        <w:t>.</w:t>
      </w:r>
    </w:p>
    <w:p w:rsidR="00511905" w:rsidRDefault="00511905" w:rsidP="00610495">
      <w:pPr>
        <w:rPr>
          <w:lang w:eastAsia="en-AU"/>
        </w:rPr>
      </w:pPr>
    </w:p>
    <w:p w:rsidR="00511905" w:rsidRDefault="00A116E7" w:rsidP="00610495">
      <w:pPr>
        <w:rPr>
          <w:lang w:eastAsia="en-AU"/>
        </w:rPr>
      </w:pPr>
      <w:r>
        <w:rPr>
          <w:lang w:eastAsia="en-AU"/>
        </w:rPr>
        <w:t>Subsequent to th</w:t>
      </w:r>
      <w:r w:rsidR="00511905">
        <w:rPr>
          <w:lang w:eastAsia="en-AU"/>
        </w:rPr>
        <w:t xml:space="preserve">is the proponent has worked with Council since April 2016 to address the issues raised with respect to the initial design and have amended elements of the proposal from that previously submitted. </w:t>
      </w:r>
    </w:p>
    <w:p w:rsidR="00511905" w:rsidRDefault="00511905" w:rsidP="00610495">
      <w:pPr>
        <w:rPr>
          <w:lang w:eastAsia="en-AU"/>
        </w:rPr>
      </w:pPr>
    </w:p>
    <w:p w:rsidR="003A7DFD" w:rsidRDefault="003A7DFD" w:rsidP="00610495">
      <w:pPr>
        <w:rPr>
          <w:lang w:eastAsia="en-AU"/>
        </w:rPr>
      </w:pPr>
      <w:r>
        <w:rPr>
          <w:lang w:eastAsia="en-AU"/>
        </w:rPr>
        <w:t xml:space="preserve">Issues raised with the original MOD 10 application included (but </w:t>
      </w:r>
      <w:r w:rsidR="005075E8">
        <w:rPr>
          <w:lang w:eastAsia="en-AU"/>
        </w:rPr>
        <w:t xml:space="preserve">were </w:t>
      </w:r>
      <w:r>
        <w:rPr>
          <w:lang w:eastAsia="en-AU"/>
        </w:rPr>
        <w:t xml:space="preserve">not limited to); stormwater management, </w:t>
      </w:r>
      <w:r w:rsidR="005075E8">
        <w:rPr>
          <w:lang w:eastAsia="en-AU"/>
        </w:rPr>
        <w:t xml:space="preserve">the </w:t>
      </w:r>
      <w:r>
        <w:rPr>
          <w:lang w:eastAsia="en-AU"/>
        </w:rPr>
        <w:t>extent of earthworks &amp; retaining walls</w:t>
      </w:r>
      <w:r w:rsidR="005075E8">
        <w:rPr>
          <w:lang w:eastAsia="en-AU"/>
        </w:rPr>
        <w:t xml:space="preserve"> and</w:t>
      </w:r>
      <w:r>
        <w:rPr>
          <w:lang w:eastAsia="en-AU"/>
        </w:rPr>
        <w:t xml:space="preserve"> removal of </w:t>
      </w:r>
      <w:r w:rsidR="005075E8">
        <w:rPr>
          <w:lang w:eastAsia="en-AU"/>
        </w:rPr>
        <w:t>a</w:t>
      </w:r>
      <w:r w:rsidR="00912C62">
        <w:rPr>
          <w:lang w:eastAsia="en-AU"/>
        </w:rPr>
        <w:t xml:space="preserve"> </w:t>
      </w:r>
      <w:r>
        <w:rPr>
          <w:lang w:eastAsia="en-AU"/>
        </w:rPr>
        <w:t>20m landscape buffer to north boundary.</w:t>
      </w:r>
    </w:p>
    <w:p w:rsidR="003A7DFD" w:rsidRDefault="003A7DFD" w:rsidP="00610495">
      <w:pPr>
        <w:rPr>
          <w:lang w:eastAsia="en-AU"/>
        </w:rPr>
      </w:pPr>
    </w:p>
    <w:p w:rsidR="00BF4139" w:rsidRDefault="00BF4139" w:rsidP="00BF4139">
      <w:r>
        <w:rPr>
          <w:lang w:eastAsia="en-AU"/>
        </w:rPr>
        <w:t xml:space="preserve">The proponent has now formally submitted a Response to Submissions (RtS) to </w:t>
      </w:r>
      <w:r w:rsidRPr="00D46B4D">
        <w:t>NSW Department of Planning &amp; Environment</w:t>
      </w:r>
      <w:r>
        <w:rPr>
          <w:lang w:eastAsia="en-AU"/>
        </w:rPr>
        <w:t xml:space="preserve">. </w:t>
      </w:r>
      <w:r>
        <w:t xml:space="preserve">The Department placed the Response to Submissions on public exhibition by way of notifying persons who previously made submissions between Friday 17 November 2017 and Friday 1 December 2017. Council have also been invited to comment on the modification request. </w:t>
      </w:r>
      <w:r w:rsidRPr="00D46B4D">
        <w:t>The staff comments are being reported to Council for endorsement, which will then to be submitted formally to the Department for consideration.</w:t>
      </w:r>
    </w:p>
    <w:p w:rsidR="00511905" w:rsidRPr="00102F55" w:rsidRDefault="00511905" w:rsidP="00511905">
      <w:pPr>
        <w:pStyle w:val="BodyText"/>
        <w:spacing w:after="0"/>
        <w:ind w:left="0"/>
        <w:rPr>
          <w:rFonts w:ascii="Calibri" w:hAnsi="Calibri" w:cs="Calibri"/>
          <w:spacing w:val="0"/>
          <w:sz w:val="28"/>
          <w:szCs w:val="22"/>
          <w:highlight w:val="yellow"/>
        </w:rPr>
      </w:pPr>
    </w:p>
    <w:p w:rsidR="00511905" w:rsidRPr="00BF4139" w:rsidRDefault="00511905" w:rsidP="00511905">
      <w:pPr>
        <w:spacing w:line="252" w:lineRule="auto"/>
        <w:ind w:right="-2"/>
        <w:jc w:val="both"/>
        <w:rPr>
          <w:rFonts w:ascii="Calibri" w:hAnsi="Calibri" w:cs="Calibri"/>
          <w:sz w:val="22"/>
          <w:szCs w:val="22"/>
        </w:rPr>
      </w:pPr>
      <w:r w:rsidRPr="00BF4139">
        <w:t>The application seeks approval to:</w:t>
      </w:r>
    </w:p>
    <w:p w:rsidR="00511905" w:rsidRPr="00BF4139" w:rsidRDefault="00511905" w:rsidP="00511905">
      <w:pPr>
        <w:numPr>
          <w:ilvl w:val="0"/>
          <w:numId w:val="30"/>
        </w:numPr>
        <w:spacing w:line="252" w:lineRule="auto"/>
        <w:ind w:right="540"/>
        <w:jc w:val="both"/>
      </w:pPr>
      <w:r w:rsidRPr="00BF4139">
        <w:t xml:space="preserve">modify the approved lot layout by replacing medium density lots with single dwellings lots. This would: </w:t>
      </w:r>
    </w:p>
    <w:p w:rsidR="00511905" w:rsidRPr="00BF4139" w:rsidRDefault="00511905" w:rsidP="00511905">
      <w:pPr>
        <w:numPr>
          <w:ilvl w:val="1"/>
          <w:numId w:val="30"/>
        </w:numPr>
        <w:spacing w:line="252" w:lineRule="auto"/>
        <w:ind w:right="1080"/>
        <w:jc w:val="both"/>
      </w:pPr>
      <w:r w:rsidRPr="00BF4139">
        <w:t xml:space="preserve">Increase the total number of lots on the site from 97 to 178;  </w:t>
      </w:r>
    </w:p>
    <w:p w:rsidR="00511905" w:rsidRPr="00BF4139" w:rsidRDefault="00511905" w:rsidP="00511905">
      <w:pPr>
        <w:numPr>
          <w:ilvl w:val="1"/>
          <w:numId w:val="30"/>
        </w:numPr>
        <w:spacing w:line="252" w:lineRule="auto"/>
        <w:ind w:right="1080"/>
        <w:jc w:val="both"/>
      </w:pPr>
      <w:r w:rsidRPr="00BF4139">
        <w:t xml:space="preserve">Reduce the total number of dwellings across the site from approximately 663 to 447 </w:t>
      </w:r>
    </w:p>
    <w:p w:rsidR="00511905" w:rsidRPr="00BF4139" w:rsidRDefault="00511905" w:rsidP="00511905">
      <w:pPr>
        <w:numPr>
          <w:ilvl w:val="0"/>
          <w:numId w:val="30"/>
        </w:numPr>
        <w:spacing w:line="252" w:lineRule="auto"/>
        <w:ind w:right="540"/>
        <w:jc w:val="both"/>
      </w:pPr>
      <w:r w:rsidRPr="00BF4139">
        <w:t>modify the built form controls to increase the height of buildings permitted along Grand Parade;</w:t>
      </w:r>
    </w:p>
    <w:p w:rsidR="00511905" w:rsidRPr="00BF4139" w:rsidRDefault="00511905" w:rsidP="00511905">
      <w:pPr>
        <w:numPr>
          <w:ilvl w:val="0"/>
          <w:numId w:val="30"/>
        </w:numPr>
        <w:spacing w:line="252" w:lineRule="auto"/>
        <w:ind w:right="540"/>
        <w:jc w:val="both"/>
      </w:pPr>
      <w:r w:rsidRPr="00BF4139">
        <w:t xml:space="preserve">delete the approved hotel use; </w:t>
      </w:r>
    </w:p>
    <w:p w:rsidR="00511905" w:rsidRPr="00BF4139" w:rsidRDefault="00511905" w:rsidP="00511905">
      <w:pPr>
        <w:numPr>
          <w:ilvl w:val="0"/>
          <w:numId w:val="30"/>
        </w:numPr>
        <w:spacing w:line="252" w:lineRule="auto"/>
        <w:ind w:right="540"/>
        <w:jc w:val="both"/>
      </w:pPr>
      <w:r w:rsidRPr="00BF4139">
        <w:t xml:space="preserve">revise the drainage concept to facilitate the filling of an existing drainage swale and its conversion to a ‘green buffer’; </w:t>
      </w:r>
    </w:p>
    <w:p w:rsidR="00511905" w:rsidRPr="00BF4139" w:rsidRDefault="00511905" w:rsidP="00511905">
      <w:pPr>
        <w:numPr>
          <w:ilvl w:val="0"/>
          <w:numId w:val="30"/>
        </w:numPr>
        <w:spacing w:line="252" w:lineRule="auto"/>
        <w:ind w:right="540"/>
        <w:jc w:val="both"/>
      </w:pPr>
      <w:r w:rsidRPr="00BF4139">
        <w:t xml:space="preserve">change the timing for the provision of additional beach access; </w:t>
      </w:r>
    </w:p>
    <w:p w:rsidR="00511905" w:rsidRPr="00BF4139" w:rsidRDefault="00511905" w:rsidP="00511905">
      <w:pPr>
        <w:numPr>
          <w:ilvl w:val="0"/>
          <w:numId w:val="30"/>
        </w:numPr>
        <w:spacing w:line="252" w:lineRule="auto"/>
        <w:ind w:right="540"/>
        <w:jc w:val="both"/>
      </w:pPr>
      <w:r w:rsidRPr="00BF4139">
        <w:t>change the approved staging plan; and</w:t>
      </w:r>
    </w:p>
    <w:p w:rsidR="00511905" w:rsidRPr="00BF4139" w:rsidRDefault="00511905" w:rsidP="00511905">
      <w:pPr>
        <w:numPr>
          <w:ilvl w:val="0"/>
          <w:numId w:val="30"/>
        </w:numPr>
        <w:spacing w:line="252" w:lineRule="auto"/>
        <w:ind w:right="540"/>
        <w:jc w:val="both"/>
      </w:pPr>
      <w:r w:rsidRPr="00BF4139">
        <w:t>administrative changes to the conditions of approval in response to the above changes.</w:t>
      </w:r>
    </w:p>
    <w:p w:rsidR="00511905" w:rsidRPr="00BF4139" w:rsidRDefault="00511905" w:rsidP="00511905">
      <w:pPr>
        <w:spacing w:line="252" w:lineRule="auto"/>
        <w:ind w:left="720" w:right="540"/>
        <w:jc w:val="both"/>
        <w:rPr>
          <w:rFonts w:eastAsiaTheme="minorHAnsi"/>
        </w:rPr>
      </w:pPr>
    </w:p>
    <w:p w:rsidR="00511905" w:rsidRPr="00BF4139" w:rsidRDefault="00511905" w:rsidP="00511905">
      <w:pPr>
        <w:spacing w:line="252" w:lineRule="auto"/>
        <w:ind w:right="540"/>
        <w:jc w:val="both"/>
      </w:pPr>
      <w:r w:rsidRPr="00BF4139">
        <w:t xml:space="preserve">Key amendments proposed in RtS include:   </w:t>
      </w:r>
    </w:p>
    <w:p w:rsidR="00511905" w:rsidRPr="00BF4139" w:rsidRDefault="00511905" w:rsidP="00511905">
      <w:pPr>
        <w:numPr>
          <w:ilvl w:val="0"/>
          <w:numId w:val="31"/>
        </w:numPr>
        <w:spacing w:line="252" w:lineRule="auto"/>
        <w:ind w:right="540"/>
        <w:jc w:val="both"/>
      </w:pPr>
      <w:r w:rsidRPr="00BF4139">
        <w:t xml:space="preserve">relocation of the local road outside the 20 metre green buffer to the northern boundary; and </w:t>
      </w:r>
    </w:p>
    <w:p w:rsidR="00511905" w:rsidRPr="00BF4139" w:rsidRDefault="00511905" w:rsidP="00511905">
      <w:pPr>
        <w:numPr>
          <w:ilvl w:val="0"/>
          <w:numId w:val="31"/>
        </w:numPr>
        <w:spacing w:line="252" w:lineRule="auto"/>
        <w:ind w:right="540"/>
        <w:jc w:val="both"/>
      </w:pPr>
      <w:r w:rsidRPr="00BF4139">
        <w:t xml:space="preserve">an increase in lots in Stage 1E from 92 lots to 93 lots.  </w:t>
      </w:r>
    </w:p>
    <w:p w:rsidR="00511905" w:rsidRDefault="00511905" w:rsidP="00610495"/>
    <w:p w:rsidR="00190ED3" w:rsidRDefault="00BF4139" w:rsidP="00BF4139">
      <w:pPr>
        <w:rPr>
          <w:lang w:eastAsia="en-AU"/>
        </w:rPr>
      </w:pPr>
      <w:r>
        <w:rPr>
          <w:lang w:eastAsia="en-AU"/>
        </w:rPr>
        <w:t xml:space="preserve">While there are certain elements of the revised proposal which will require further </w:t>
      </w:r>
      <w:r w:rsidR="003A7DFD">
        <w:rPr>
          <w:lang w:eastAsia="en-AU"/>
        </w:rPr>
        <w:t>information/clarification</w:t>
      </w:r>
      <w:r>
        <w:rPr>
          <w:lang w:eastAsia="en-AU"/>
        </w:rPr>
        <w:t xml:space="preserve"> through the detailed design phase of development, </w:t>
      </w:r>
      <w:r w:rsidR="0036525F">
        <w:rPr>
          <w:lang w:eastAsia="en-AU"/>
        </w:rPr>
        <w:t>it is considered that</w:t>
      </w:r>
      <w:r w:rsidR="005075E8">
        <w:rPr>
          <w:lang w:eastAsia="en-AU"/>
        </w:rPr>
        <w:t xml:space="preserve"> the updated application</w:t>
      </w:r>
      <w:r w:rsidR="0036525F">
        <w:rPr>
          <w:lang w:eastAsia="en-AU"/>
        </w:rPr>
        <w:t xml:space="preserve"> is worthy of support,</w:t>
      </w:r>
      <w:r w:rsidR="005075E8">
        <w:rPr>
          <w:lang w:eastAsia="en-AU"/>
        </w:rPr>
        <w:t xml:space="preserve"> subject to </w:t>
      </w:r>
      <w:r w:rsidR="00190ED3">
        <w:rPr>
          <w:lang w:eastAsia="en-AU"/>
        </w:rPr>
        <w:t>amended conditions.</w:t>
      </w:r>
    </w:p>
    <w:p w:rsidR="0036525F" w:rsidRDefault="0036525F" w:rsidP="00190ED3"/>
    <w:p w:rsidR="005C2E68" w:rsidRPr="007F527E" w:rsidRDefault="0036525F" w:rsidP="0036525F">
      <w:r w:rsidRPr="007F527E">
        <w:t xml:space="preserve">Council staff have recently met with </w:t>
      </w:r>
      <w:r w:rsidR="004D6926" w:rsidRPr="007F527E">
        <w:t xml:space="preserve">a </w:t>
      </w:r>
      <w:r w:rsidR="005C2E68" w:rsidRPr="007F527E">
        <w:t>local resident</w:t>
      </w:r>
      <w:r w:rsidR="004D6926" w:rsidRPr="007F527E">
        <w:t xml:space="preserve"> representative</w:t>
      </w:r>
      <w:r w:rsidR="005C2E68" w:rsidRPr="007F527E">
        <w:t xml:space="preserve"> relating to this Modification</w:t>
      </w:r>
      <w:r w:rsidR="00912C62" w:rsidRPr="007F527E">
        <w:t xml:space="preserve"> 10</w:t>
      </w:r>
      <w:r w:rsidR="005C2E68" w:rsidRPr="007F527E">
        <w:t xml:space="preserve"> application, w</w:t>
      </w:r>
      <w:r w:rsidR="00912C62" w:rsidRPr="007F527E">
        <w:t xml:space="preserve">ho raised concerns </w:t>
      </w:r>
      <w:r w:rsidR="005C2E68" w:rsidRPr="007F527E">
        <w:t>with respect to building height, surf lifesaving storage, open space</w:t>
      </w:r>
      <w:r w:rsidR="00912C62" w:rsidRPr="007F527E">
        <w:t xml:space="preserve"> provision</w:t>
      </w:r>
      <w:r w:rsidR="005C2E68" w:rsidRPr="007F527E">
        <w:t xml:space="preserve"> and the Grand Parade (East-west linkage). These are discussed briefly below;</w:t>
      </w:r>
    </w:p>
    <w:p w:rsidR="005C2E68" w:rsidRDefault="005C2E68" w:rsidP="0036525F">
      <w:pPr>
        <w:rPr>
          <w:highlight w:val="yellow"/>
        </w:rPr>
      </w:pPr>
    </w:p>
    <w:p w:rsidR="005C2E68" w:rsidRPr="0055614C" w:rsidRDefault="005C2E68" w:rsidP="0036525F">
      <w:pPr>
        <w:rPr>
          <w:i/>
        </w:rPr>
      </w:pPr>
      <w:r w:rsidRPr="0055614C">
        <w:rPr>
          <w:i/>
        </w:rPr>
        <w:t>Building Height:</w:t>
      </w:r>
    </w:p>
    <w:p w:rsidR="0055614C" w:rsidRPr="0055614C" w:rsidRDefault="005C2E68" w:rsidP="0036525F">
      <w:r w:rsidRPr="0055614C">
        <w:t xml:space="preserve">The subject application is for subdivision only, with no buildings proposed at this time. </w:t>
      </w:r>
      <w:r w:rsidR="00912C62" w:rsidRPr="0055614C">
        <w:t>However, t</w:t>
      </w:r>
      <w:r w:rsidRPr="0055614C">
        <w:t xml:space="preserve">he amended masterplan </w:t>
      </w:r>
      <w:r w:rsidR="00912C62" w:rsidRPr="0055614C">
        <w:t>would</w:t>
      </w:r>
      <w:r w:rsidRPr="0055614C">
        <w:t xml:space="preserve"> enable the development of </w:t>
      </w:r>
      <w:r w:rsidR="00402BAE" w:rsidRPr="0055614C">
        <w:t xml:space="preserve">4 storey development on three of the proposed allotments, with the remainder having a maximum 3 storey height. </w:t>
      </w:r>
      <w:r w:rsidR="0055614C" w:rsidRPr="0055614C">
        <w:t>Future Development applications for development on these allotments would be assessed with respect to height/scale and built form. The site is currently subject to the 13.6m Building Height Control, and the proposed building heights would conform with this control. Therefore no objection is raised on this basis.</w:t>
      </w:r>
    </w:p>
    <w:p w:rsidR="0055614C" w:rsidRDefault="0055614C" w:rsidP="0036525F">
      <w:pPr>
        <w:rPr>
          <w:highlight w:val="yellow"/>
        </w:rPr>
      </w:pPr>
    </w:p>
    <w:p w:rsidR="005C2E68" w:rsidRPr="004D6926" w:rsidRDefault="005C2E68" w:rsidP="0036525F">
      <w:pPr>
        <w:rPr>
          <w:i/>
        </w:rPr>
      </w:pPr>
      <w:r w:rsidRPr="004D6926">
        <w:rPr>
          <w:i/>
        </w:rPr>
        <w:t xml:space="preserve">Space for </w:t>
      </w:r>
      <w:r w:rsidR="004D6926" w:rsidRPr="004D6926">
        <w:rPr>
          <w:i/>
        </w:rPr>
        <w:t>S</w:t>
      </w:r>
      <w:r w:rsidRPr="004D6926">
        <w:rPr>
          <w:i/>
        </w:rPr>
        <w:t xml:space="preserve">urf </w:t>
      </w:r>
      <w:r w:rsidR="004D6926" w:rsidRPr="004D6926">
        <w:rPr>
          <w:i/>
        </w:rPr>
        <w:t>L</w:t>
      </w:r>
      <w:r w:rsidRPr="004D6926">
        <w:rPr>
          <w:i/>
        </w:rPr>
        <w:t xml:space="preserve">ifesaving </w:t>
      </w:r>
      <w:r w:rsidR="004D6926" w:rsidRPr="004D6926">
        <w:rPr>
          <w:i/>
        </w:rPr>
        <w:t>S</w:t>
      </w:r>
      <w:r w:rsidRPr="004D6926">
        <w:rPr>
          <w:i/>
        </w:rPr>
        <w:t>torage,</w:t>
      </w:r>
    </w:p>
    <w:p w:rsidR="00402BAE" w:rsidRPr="004D6926" w:rsidRDefault="00402BAE" w:rsidP="0036525F">
      <w:r w:rsidRPr="004D6926">
        <w:t>The provision of surf lifesaving facilities are to be located within the icon building, adjacent to the coastal foreshore. It is noted that existing condition C5 of the Concept Approval states that ‘</w:t>
      </w:r>
      <w:r w:rsidRPr="004D6926">
        <w:rPr>
          <w:i/>
        </w:rPr>
        <w:t>The future application for development of Lot 17 Is to include details of the surf lifesaving facilities to be provided in the icon building. The application shall include written agreement to the proposed facilities from Surf Lifesaving Australia.’</w:t>
      </w:r>
      <w:r w:rsidR="004D6926" w:rsidRPr="004D6926">
        <w:t xml:space="preserve">  </w:t>
      </w:r>
      <w:r w:rsidRPr="004D6926">
        <w:t>This is considered to adequately address this matter.</w:t>
      </w:r>
    </w:p>
    <w:p w:rsidR="00402BAE" w:rsidRDefault="00402BAE" w:rsidP="0036525F">
      <w:pPr>
        <w:rPr>
          <w:highlight w:val="yellow"/>
        </w:rPr>
      </w:pPr>
    </w:p>
    <w:p w:rsidR="00912C62" w:rsidRPr="004D6926" w:rsidRDefault="00912C62" w:rsidP="0036525F">
      <w:pPr>
        <w:rPr>
          <w:i/>
          <w:highlight w:val="yellow"/>
        </w:rPr>
      </w:pPr>
      <w:r w:rsidRPr="007F527E">
        <w:rPr>
          <w:i/>
        </w:rPr>
        <w:t>Public Open Space</w:t>
      </w:r>
    </w:p>
    <w:p w:rsidR="007F527E" w:rsidRDefault="007F527E" w:rsidP="007F527E">
      <w:pPr>
        <w:pStyle w:val="PlainText"/>
        <w:rPr>
          <w:rFonts w:asciiTheme="minorHAnsi" w:hAnsiTheme="minorHAnsi" w:cstheme="minorHAnsi"/>
          <w:sz w:val="24"/>
        </w:rPr>
      </w:pPr>
      <w:r>
        <w:rPr>
          <w:rFonts w:asciiTheme="minorHAnsi" w:hAnsiTheme="minorHAnsi" w:cstheme="minorHAnsi"/>
          <w:sz w:val="24"/>
        </w:rPr>
        <w:t>Concerns were raised with respect to the amount of public open space provided within the development. In this regard it is noted that this isn't a new subdivision and therefore isn't subject to Council’s current controls relating to public open space. From an officer perspective, it is considered that being able to utilise area previously approved for stormwater basins and conveyance (both on the public reserve and to the norther buffer) as useable public open space is a good outcome for the community and this development as a whole.</w:t>
      </w:r>
    </w:p>
    <w:p w:rsidR="007F527E" w:rsidRDefault="007F527E" w:rsidP="007F527E">
      <w:pPr>
        <w:pStyle w:val="PlainText"/>
        <w:rPr>
          <w:rFonts w:asciiTheme="minorHAnsi" w:hAnsiTheme="minorHAnsi" w:cstheme="minorHAnsi"/>
          <w:sz w:val="24"/>
        </w:rPr>
      </w:pPr>
    </w:p>
    <w:p w:rsidR="00912C62" w:rsidRPr="004D6926" w:rsidRDefault="00912C62" w:rsidP="0036525F">
      <w:pPr>
        <w:rPr>
          <w:i/>
        </w:rPr>
      </w:pPr>
      <w:r w:rsidRPr="004D6926">
        <w:rPr>
          <w:i/>
        </w:rPr>
        <w:t>Grand Parade (East-West) Street Design</w:t>
      </w:r>
    </w:p>
    <w:p w:rsidR="00402BAE" w:rsidRPr="004D6926" w:rsidRDefault="00402BAE" w:rsidP="0036525F">
      <w:r w:rsidRPr="004D6926">
        <w:t xml:space="preserve">Concerns were raised regarding the absence of a Plaza within the Grand Parade alignment and possible wind-tunnelling </w:t>
      </w:r>
      <w:r w:rsidR="004D6926" w:rsidRPr="004D6926">
        <w:t>from the coast arising from this. From Council officer perspective it is noted that the east-west alignment is consistent with that approved under the original Casuarina Town Centre layout and furthermore, the proposed building heights are not considered to result in wind-tunnelling occurring. In any event, there is no provision within Council’s subdivision controls to require the provision of plaza’s within developments.</w:t>
      </w:r>
    </w:p>
    <w:p w:rsidR="004D6926" w:rsidRDefault="004D6926" w:rsidP="0036525F">
      <w:pPr>
        <w:rPr>
          <w:highlight w:val="yellow"/>
        </w:rPr>
      </w:pPr>
    </w:p>
    <w:p w:rsidR="0036525F" w:rsidRPr="007F527E" w:rsidRDefault="004D6926" w:rsidP="0036525F">
      <w:pPr>
        <w:rPr>
          <w:highlight w:val="yellow"/>
          <w:u w:val="single"/>
        </w:rPr>
      </w:pPr>
      <w:r w:rsidRPr="007F527E">
        <w:rPr>
          <w:u w:val="single"/>
        </w:rPr>
        <w:t>Draft Plan of Management</w:t>
      </w:r>
    </w:p>
    <w:p w:rsidR="0036525F" w:rsidRPr="007F527E" w:rsidRDefault="007F527E" w:rsidP="0036525F">
      <w:r w:rsidRPr="007F527E">
        <w:rPr>
          <w:rFonts w:asciiTheme="minorHAnsi" w:hAnsiTheme="minorHAnsi" w:cstheme="minorHAnsi"/>
        </w:rPr>
        <w:t>The proposed modifications to Casuarina Town Centre include works on Council owned Community Land (</w:t>
      </w:r>
      <w:r w:rsidRPr="007F527E">
        <w:t>Lot 13 DP 1014470) to the coastal foreshore</w:t>
      </w:r>
      <w:r w:rsidRPr="007F527E">
        <w:rPr>
          <w:rFonts w:asciiTheme="minorHAnsi" w:hAnsiTheme="minorHAnsi" w:cstheme="minorHAnsi"/>
        </w:rPr>
        <w:t xml:space="preserve">. Concurrent to the MOD 10 application with NSW Planning, a Plan of Management for works on Council land is on exhibition for this site, with submissions being accepted until 20 December 2017. This </w:t>
      </w:r>
      <w:r w:rsidR="0036525F" w:rsidRPr="007F527E">
        <w:t xml:space="preserve">will be the subject of a further report to Council </w:t>
      </w:r>
      <w:r w:rsidRPr="007F527E">
        <w:t>regarding</w:t>
      </w:r>
      <w:r w:rsidR="0036525F" w:rsidRPr="007F527E">
        <w:t xml:space="preserve"> owners consent.</w:t>
      </w:r>
    </w:p>
    <w:p w:rsidR="0036525F" w:rsidRDefault="0036525F" w:rsidP="00190ED3"/>
    <w:p w:rsidR="0036525F" w:rsidRDefault="0036525F" w:rsidP="00190ED3"/>
    <w:p w:rsidR="00610495" w:rsidRPr="00CE6CF1" w:rsidRDefault="00610495" w:rsidP="00610495">
      <w:pPr>
        <w:pStyle w:val="Heading2"/>
        <w:keepLines/>
      </w:pPr>
      <w:r w:rsidRPr="00CE6CF1">
        <w:t>RECOMMENDATION:</w:t>
      </w:r>
    </w:p>
    <w:p w:rsidR="00610495" w:rsidRPr="00D46B4D" w:rsidRDefault="00610495" w:rsidP="00610495">
      <w:pPr>
        <w:rPr>
          <w:b/>
        </w:rPr>
      </w:pPr>
      <w:r w:rsidRPr="007E6F6F">
        <w:rPr>
          <w:b/>
        </w:rPr>
        <w:t>That</w:t>
      </w:r>
      <w:r>
        <w:rPr>
          <w:b/>
        </w:rPr>
        <w:t xml:space="preserve"> </w:t>
      </w:r>
      <w:r w:rsidRPr="00D46B4D">
        <w:rPr>
          <w:b/>
        </w:rPr>
        <w:t xml:space="preserve">Council endorses </w:t>
      </w:r>
      <w:r w:rsidR="005C2E68">
        <w:rPr>
          <w:b/>
        </w:rPr>
        <w:t xml:space="preserve">that </w:t>
      </w:r>
      <w:r w:rsidRPr="00D46B4D">
        <w:rPr>
          <w:b/>
        </w:rPr>
        <w:t>the</w:t>
      </w:r>
      <w:r w:rsidR="005C2E68">
        <w:rPr>
          <w:b/>
        </w:rPr>
        <w:t xml:space="preserve"> attached submission</w:t>
      </w:r>
      <w:r w:rsidRPr="00D46B4D">
        <w:rPr>
          <w:b/>
        </w:rPr>
        <w:t xml:space="preserve"> be submitted to NSW Planning &amp; Environment with regard to proposed modifications of the Concept Approval and Project Approval relating to Casuarina To</w:t>
      </w:r>
      <w:r>
        <w:rPr>
          <w:b/>
        </w:rPr>
        <w:t>wn Centre (MP06_0258) MOD 10.</w:t>
      </w:r>
    </w:p>
    <w:p w:rsidR="00610495" w:rsidRPr="00CE6CF1" w:rsidRDefault="00610495" w:rsidP="00610495">
      <w:pPr>
        <w:rPr>
          <w:b/>
        </w:rPr>
      </w:pPr>
    </w:p>
    <w:p w:rsidR="006D751F" w:rsidRDefault="006D751F" w:rsidP="00610495">
      <w:pPr>
        <w:ind w:left="709" w:hanging="709"/>
        <w:rPr>
          <w:b/>
        </w:rPr>
      </w:pPr>
    </w:p>
    <w:p w:rsidR="006D751F" w:rsidRDefault="006D751F" w:rsidP="006D751F">
      <w:pPr>
        <w:pBdr>
          <w:top w:val="threeDEmboss" w:sz="24" w:space="1" w:color="auto"/>
        </w:pBdr>
      </w:pPr>
    </w:p>
    <w:p w:rsidR="007F527E" w:rsidRDefault="007F527E" w:rsidP="00117622">
      <w:pPr>
        <w:rPr>
          <w:b/>
        </w:rPr>
      </w:pPr>
    </w:p>
    <w:p w:rsidR="007F527E" w:rsidRDefault="007F527E" w:rsidP="00117622">
      <w:pPr>
        <w:rPr>
          <w:b/>
        </w:rPr>
      </w:pPr>
    </w:p>
    <w:p w:rsidR="007F527E" w:rsidRDefault="007F527E" w:rsidP="00117622">
      <w:pPr>
        <w:rPr>
          <w:b/>
        </w:rPr>
      </w:pPr>
    </w:p>
    <w:p w:rsidR="007F527E" w:rsidRDefault="007F527E" w:rsidP="00117622">
      <w:pPr>
        <w:rPr>
          <w:b/>
        </w:rPr>
      </w:pPr>
    </w:p>
    <w:p w:rsidR="00117622" w:rsidRPr="00033F4C" w:rsidRDefault="00117622" w:rsidP="00117622">
      <w:pPr>
        <w:rPr>
          <w:b/>
        </w:rPr>
      </w:pPr>
      <w:r w:rsidRPr="00033F4C">
        <w:rPr>
          <w:b/>
        </w:rPr>
        <w:lastRenderedPageBreak/>
        <w:t>AMENDED SITE LAYOUT PLAN DA10/0222.26 (MP 06/0258 MOD 10):</w:t>
      </w:r>
    </w:p>
    <w:p w:rsidR="00117622" w:rsidRPr="00033F4C" w:rsidRDefault="00117622" w:rsidP="00117622">
      <w:pPr>
        <w:rPr>
          <w:b/>
        </w:rPr>
      </w:pPr>
      <w:r w:rsidRPr="00033F4C">
        <w:rPr>
          <w:b/>
          <w:noProof/>
          <w:lang w:eastAsia="en-AU"/>
        </w:rPr>
        <w:drawing>
          <wp:inline distT="0" distB="0" distL="0" distR="0" wp14:anchorId="776EDED1" wp14:editId="7366DCD0">
            <wp:extent cx="8228705" cy="5824864"/>
            <wp:effectExtent l="1587" t="0" r="2858" b="2857"/>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rot="16200000">
                      <a:off x="0" y="0"/>
                      <a:ext cx="8228670" cy="5824839"/>
                    </a:xfrm>
                    <a:prstGeom prst="rect">
                      <a:avLst/>
                    </a:prstGeom>
                    <a:noFill/>
                    <a:ln>
                      <a:noFill/>
                    </a:ln>
                  </pic:spPr>
                </pic:pic>
              </a:graphicData>
            </a:graphic>
          </wp:inline>
        </w:drawing>
      </w:r>
    </w:p>
    <w:p w:rsidR="00117622" w:rsidRPr="00033F4C" w:rsidRDefault="00117622" w:rsidP="006D751F">
      <w:pPr>
        <w:rPr>
          <w:b/>
        </w:rPr>
      </w:pPr>
    </w:p>
    <w:p w:rsidR="006D751F" w:rsidRPr="00033F4C" w:rsidRDefault="006D751F" w:rsidP="006D751F">
      <w:pPr>
        <w:rPr>
          <w:b/>
        </w:rPr>
      </w:pPr>
      <w:r w:rsidRPr="00033F4C">
        <w:rPr>
          <w:b/>
        </w:rPr>
        <w:t>AMENDED DENSITY DIAGRAM DA10/0222.26 (MP 06/0258 MOD 10):</w:t>
      </w:r>
    </w:p>
    <w:p w:rsidR="00117622" w:rsidRPr="00033F4C" w:rsidRDefault="00117622" w:rsidP="006D751F">
      <w:pPr>
        <w:rPr>
          <w:b/>
        </w:rPr>
      </w:pPr>
      <w:r w:rsidRPr="00033F4C">
        <w:rPr>
          <w:b/>
          <w:noProof/>
          <w:lang w:eastAsia="en-AU"/>
        </w:rPr>
        <w:lastRenderedPageBreak/>
        <w:drawing>
          <wp:inline distT="0" distB="0" distL="0" distR="0" wp14:anchorId="03CFB6E7" wp14:editId="52A863C7">
            <wp:extent cx="7733723" cy="6193670"/>
            <wp:effectExtent l="8255" t="0" r="889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rot="16200000">
                      <a:off x="0" y="0"/>
                      <a:ext cx="7739529" cy="6198320"/>
                    </a:xfrm>
                    <a:prstGeom prst="rect">
                      <a:avLst/>
                    </a:prstGeom>
                    <a:noFill/>
                    <a:ln>
                      <a:noFill/>
                    </a:ln>
                  </pic:spPr>
                </pic:pic>
              </a:graphicData>
            </a:graphic>
          </wp:inline>
        </w:drawing>
      </w:r>
    </w:p>
    <w:p w:rsidR="00117622" w:rsidRPr="00033F4C" w:rsidRDefault="00117622" w:rsidP="006D751F">
      <w:pPr>
        <w:rPr>
          <w:b/>
        </w:rPr>
      </w:pPr>
    </w:p>
    <w:p w:rsidR="006D751F" w:rsidRPr="00033F4C" w:rsidRDefault="006D751F" w:rsidP="006D751F">
      <w:pPr>
        <w:rPr>
          <w:b/>
        </w:rPr>
      </w:pPr>
    </w:p>
    <w:p w:rsidR="006D751F" w:rsidRPr="00033F4C" w:rsidRDefault="006D751F" w:rsidP="006D751F">
      <w:r w:rsidRPr="00033F4C">
        <w:rPr>
          <w:b/>
        </w:rPr>
        <w:br w:type="page"/>
      </w:r>
    </w:p>
    <w:p w:rsidR="006D751F" w:rsidRPr="00033F4C" w:rsidRDefault="006D751F" w:rsidP="006D751F">
      <w:pPr>
        <w:rPr>
          <w:b/>
        </w:rPr>
      </w:pPr>
      <w:r w:rsidRPr="00033F4C">
        <w:rPr>
          <w:b/>
        </w:rPr>
        <w:lastRenderedPageBreak/>
        <w:t>AMENDED BULK EARTHWORKS DA10/0222.26 (MP 06/0258 MOD 10):</w:t>
      </w:r>
    </w:p>
    <w:p w:rsidR="006D751F" w:rsidRPr="00033F4C" w:rsidRDefault="00117622" w:rsidP="006D751F">
      <w:pPr>
        <w:rPr>
          <w:b/>
        </w:rPr>
      </w:pPr>
      <w:r w:rsidRPr="00033F4C">
        <w:rPr>
          <w:b/>
          <w:noProof/>
          <w:lang w:eastAsia="en-AU"/>
        </w:rPr>
        <w:drawing>
          <wp:inline distT="0" distB="0" distL="0" distR="0" wp14:anchorId="2384A176" wp14:editId="32330316">
            <wp:extent cx="8600746" cy="6066513"/>
            <wp:effectExtent l="0" t="9208" r="953" b="952"/>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6200000">
                      <a:off x="0" y="0"/>
                      <a:ext cx="8601102" cy="6066764"/>
                    </a:xfrm>
                    <a:prstGeom prst="rect">
                      <a:avLst/>
                    </a:prstGeom>
                    <a:noFill/>
                    <a:ln>
                      <a:noFill/>
                    </a:ln>
                  </pic:spPr>
                </pic:pic>
              </a:graphicData>
            </a:graphic>
          </wp:inline>
        </w:drawing>
      </w:r>
    </w:p>
    <w:p w:rsidR="006D751F" w:rsidRPr="00033F4C" w:rsidRDefault="006D751F" w:rsidP="006D751F">
      <w:pPr>
        <w:rPr>
          <w:b/>
        </w:rPr>
      </w:pPr>
      <w:r w:rsidRPr="00033F4C">
        <w:rPr>
          <w:b/>
        </w:rPr>
        <w:lastRenderedPageBreak/>
        <w:t>AMENDED LANDSCAPE MASTERPLAN LAYOUT DA10/0222.26 (MP 06/0258 MOD 10):</w:t>
      </w:r>
    </w:p>
    <w:p w:rsidR="006D751F" w:rsidRPr="00AA179F" w:rsidRDefault="006D751F" w:rsidP="006D751F">
      <w:pPr>
        <w:rPr>
          <w:color w:val="FF3A90" w:themeColor="accent4" w:themeTint="99"/>
        </w:rPr>
      </w:pPr>
    </w:p>
    <w:p w:rsidR="006D751F" w:rsidRPr="00AA179F" w:rsidRDefault="006D751F" w:rsidP="006D751F">
      <w:pPr>
        <w:rPr>
          <w:color w:val="FF3A90" w:themeColor="accent4" w:themeTint="99"/>
        </w:rPr>
      </w:pPr>
      <w:r w:rsidRPr="00AA179F">
        <w:rPr>
          <w:noProof/>
          <w:color w:val="FF3A90" w:themeColor="accent4" w:themeTint="99"/>
          <w:lang w:eastAsia="en-AU"/>
        </w:rPr>
        <w:drawing>
          <wp:inline distT="0" distB="0" distL="0" distR="0" wp14:anchorId="5D18BE01" wp14:editId="193E1ABC">
            <wp:extent cx="8073085" cy="5729646"/>
            <wp:effectExtent l="0" t="9525"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rot="16200000">
                      <a:off x="0" y="0"/>
                      <a:ext cx="8074514" cy="5730660"/>
                    </a:xfrm>
                    <a:prstGeom prst="rect">
                      <a:avLst/>
                    </a:prstGeom>
                  </pic:spPr>
                </pic:pic>
              </a:graphicData>
            </a:graphic>
          </wp:inline>
        </w:drawing>
      </w:r>
    </w:p>
    <w:p w:rsidR="00117622" w:rsidRPr="00117622" w:rsidRDefault="00117622" w:rsidP="00610495">
      <w:pPr>
        <w:rPr>
          <w:color w:val="FF3A90" w:themeColor="accent4" w:themeTint="99"/>
        </w:rPr>
      </w:pPr>
    </w:p>
    <w:p w:rsidR="00610495" w:rsidRDefault="00610495" w:rsidP="00610495">
      <w:pPr>
        <w:pStyle w:val="Heading2"/>
      </w:pPr>
      <w:r>
        <w:lastRenderedPageBreak/>
        <w:t>REPORT:</w:t>
      </w:r>
    </w:p>
    <w:p w:rsidR="00610495" w:rsidRPr="002B0DFA" w:rsidRDefault="00610495" w:rsidP="00610495">
      <w:pPr>
        <w:tabs>
          <w:tab w:val="left" w:pos="1418"/>
        </w:tabs>
        <w:ind w:left="1418" w:hanging="1418"/>
        <w:rPr>
          <w:b/>
          <w:bCs/>
        </w:rPr>
      </w:pPr>
      <w:r w:rsidRPr="002B0DFA">
        <w:rPr>
          <w:b/>
          <w:bCs/>
        </w:rPr>
        <w:t>Applicant:</w:t>
      </w:r>
      <w:r w:rsidRPr="002B0DFA">
        <w:rPr>
          <w:b/>
          <w:bCs/>
        </w:rPr>
        <w:tab/>
        <w:t>Clarence Property Corporation Limited</w:t>
      </w:r>
    </w:p>
    <w:p w:rsidR="00610495" w:rsidRPr="002B0DFA" w:rsidRDefault="00610495" w:rsidP="00610495">
      <w:pPr>
        <w:tabs>
          <w:tab w:val="left" w:pos="1418"/>
        </w:tabs>
        <w:ind w:left="1418" w:hanging="1418"/>
        <w:rPr>
          <w:b/>
          <w:bCs/>
        </w:rPr>
      </w:pPr>
      <w:r w:rsidRPr="002B0DFA">
        <w:rPr>
          <w:b/>
          <w:bCs/>
        </w:rPr>
        <w:t>Owner:</w:t>
      </w:r>
      <w:r w:rsidRPr="002B0DFA">
        <w:rPr>
          <w:b/>
          <w:bCs/>
        </w:rPr>
        <w:tab/>
        <w:t>Clarence Property Corporation Limited</w:t>
      </w:r>
      <w:r w:rsidR="003076AB">
        <w:rPr>
          <w:b/>
          <w:bCs/>
        </w:rPr>
        <w:t xml:space="preserve"> &amp; Tweed Shire Council</w:t>
      </w:r>
    </w:p>
    <w:p w:rsidR="00610495" w:rsidRPr="003076AB" w:rsidRDefault="00610495" w:rsidP="00610495">
      <w:pPr>
        <w:tabs>
          <w:tab w:val="left" w:pos="1418"/>
        </w:tabs>
        <w:ind w:left="1418" w:hanging="1418"/>
        <w:rPr>
          <w:b/>
          <w:bCs/>
        </w:rPr>
      </w:pPr>
      <w:r>
        <w:rPr>
          <w:b/>
          <w:bCs/>
        </w:rPr>
        <w:t>Location:</w:t>
      </w:r>
      <w:r>
        <w:rPr>
          <w:b/>
          <w:bCs/>
        </w:rPr>
        <w:tab/>
      </w:r>
      <w:r w:rsidRPr="003076AB">
        <w:rPr>
          <w:b/>
          <w:bCs/>
        </w:rPr>
        <w:t>Lot 15 DP 1198266 Casuarina Way, Casuarina</w:t>
      </w:r>
    </w:p>
    <w:p w:rsidR="003076AB" w:rsidRPr="002B0DFA" w:rsidRDefault="003076AB" w:rsidP="00610495">
      <w:pPr>
        <w:tabs>
          <w:tab w:val="left" w:pos="1418"/>
        </w:tabs>
        <w:ind w:left="1418" w:hanging="1418"/>
        <w:rPr>
          <w:b/>
          <w:bCs/>
        </w:rPr>
      </w:pPr>
      <w:r w:rsidRPr="003076AB">
        <w:rPr>
          <w:b/>
          <w:bCs/>
        </w:rPr>
        <w:tab/>
        <w:t>Lot 13 DP 1014470 Casuarina Way, Casuarina</w:t>
      </w:r>
    </w:p>
    <w:p w:rsidR="00610495" w:rsidRDefault="00610495" w:rsidP="00610495">
      <w:pPr>
        <w:tabs>
          <w:tab w:val="left" w:pos="1418"/>
        </w:tabs>
        <w:rPr>
          <w:b/>
          <w:bCs/>
        </w:rPr>
      </w:pPr>
    </w:p>
    <w:p w:rsidR="00610495" w:rsidRPr="000A1241" w:rsidRDefault="00610495" w:rsidP="00610495">
      <w:pPr>
        <w:rPr>
          <w:b/>
          <w:u w:val="single"/>
        </w:rPr>
      </w:pPr>
      <w:r w:rsidRPr="000A1241">
        <w:rPr>
          <w:b/>
          <w:u w:val="single"/>
        </w:rPr>
        <w:t>Background</w:t>
      </w:r>
    </w:p>
    <w:p w:rsidR="00610495" w:rsidRPr="00F21347" w:rsidRDefault="00610495" w:rsidP="00610495">
      <w:pPr>
        <w:rPr>
          <w:lang w:eastAsia="en-AU"/>
        </w:rPr>
      </w:pPr>
      <w:r w:rsidRPr="00F21347">
        <w:rPr>
          <w:lang w:eastAsia="en-AU"/>
        </w:rPr>
        <w:t>Approval was granted on 20 September 2009 by the Minister for</w:t>
      </w:r>
      <w:r>
        <w:rPr>
          <w:lang w:eastAsia="en-AU"/>
        </w:rPr>
        <w:t xml:space="preserve"> </w:t>
      </w:r>
      <w:r w:rsidRPr="00F21347">
        <w:rPr>
          <w:lang w:eastAsia="en-AU"/>
        </w:rPr>
        <w:t xml:space="preserve">Planning to the Concept Plan and Project Application for the </w:t>
      </w:r>
      <w:r w:rsidRPr="00D228F2">
        <w:rPr>
          <w:lang w:eastAsia="en-AU"/>
        </w:rPr>
        <w:t>Casuarina Town Centre</w:t>
      </w:r>
      <w:r>
        <w:rPr>
          <w:lang w:eastAsia="en-AU"/>
        </w:rPr>
        <w:t xml:space="preserve"> (</w:t>
      </w:r>
      <w:r w:rsidRPr="00F21347">
        <w:rPr>
          <w:lang w:eastAsia="en-AU"/>
        </w:rPr>
        <w:t>Major Project 06_0258</w:t>
      </w:r>
      <w:r>
        <w:rPr>
          <w:lang w:eastAsia="en-AU"/>
        </w:rPr>
        <w:t>)</w:t>
      </w:r>
      <w:r w:rsidRPr="00F21347">
        <w:rPr>
          <w:lang w:eastAsia="en-AU"/>
        </w:rPr>
        <w:t>.</w:t>
      </w:r>
    </w:p>
    <w:p w:rsidR="00610495" w:rsidRDefault="00610495" w:rsidP="00610495">
      <w:pPr>
        <w:rPr>
          <w:lang w:eastAsia="en-AU"/>
        </w:rPr>
      </w:pPr>
    </w:p>
    <w:p w:rsidR="00610495" w:rsidRDefault="00610495" w:rsidP="00610495">
      <w:pPr>
        <w:rPr>
          <w:lang w:eastAsia="en-AU"/>
        </w:rPr>
      </w:pPr>
      <w:r w:rsidRPr="00F21347">
        <w:rPr>
          <w:lang w:eastAsia="en-AU"/>
        </w:rPr>
        <w:t>The Concept Plan approval was granted for:</w:t>
      </w:r>
    </w:p>
    <w:p w:rsidR="00610495" w:rsidRPr="00F21347" w:rsidRDefault="00610495" w:rsidP="00610495">
      <w:pPr>
        <w:rPr>
          <w:lang w:eastAsia="en-AU"/>
        </w:rPr>
      </w:pPr>
    </w:p>
    <w:p w:rsidR="00610495" w:rsidRPr="00F21347" w:rsidRDefault="00610495" w:rsidP="00610495">
      <w:pPr>
        <w:numPr>
          <w:ilvl w:val="0"/>
          <w:numId w:val="20"/>
        </w:numPr>
        <w:ind w:left="1134" w:hanging="567"/>
        <w:rPr>
          <w:lang w:eastAsia="en-AU"/>
        </w:rPr>
      </w:pPr>
      <w:r w:rsidRPr="00F21347">
        <w:rPr>
          <w:lang w:eastAsia="en-AU"/>
        </w:rPr>
        <w:t>The subdivision of land in 61 lots including low and medium density residential, retail, commercial and mixed use lots;</w:t>
      </w:r>
    </w:p>
    <w:p w:rsidR="00610495" w:rsidRPr="00F21347" w:rsidRDefault="00610495" w:rsidP="00610495">
      <w:pPr>
        <w:numPr>
          <w:ilvl w:val="0"/>
          <w:numId w:val="20"/>
        </w:numPr>
        <w:ind w:left="1134" w:hanging="567"/>
        <w:rPr>
          <w:lang w:eastAsia="en-AU"/>
        </w:rPr>
      </w:pPr>
      <w:r w:rsidRPr="00F21347">
        <w:rPr>
          <w:lang w:eastAsia="en-AU"/>
        </w:rPr>
        <w:t>Construction of a retail centre comprising a supermarket, restaurants and shops;</w:t>
      </w:r>
    </w:p>
    <w:p w:rsidR="00610495" w:rsidRPr="00F21347" w:rsidRDefault="00610495" w:rsidP="00610495">
      <w:pPr>
        <w:numPr>
          <w:ilvl w:val="0"/>
          <w:numId w:val="20"/>
        </w:numPr>
        <w:ind w:left="1134" w:hanging="567"/>
        <w:rPr>
          <w:lang w:eastAsia="en-AU"/>
        </w:rPr>
      </w:pPr>
      <w:r w:rsidRPr="00F21347">
        <w:rPr>
          <w:lang w:eastAsia="en-AU"/>
        </w:rPr>
        <w:t>Construction of a hotel;</w:t>
      </w:r>
    </w:p>
    <w:p w:rsidR="00610495" w:rsidRPr="00F21347" w:rsidRDefault="00610495" w:rsidP="00610495">
      <w:pPr>
        <w:numPr>
          <w:ilvl w:val="0"/>
          <w:numId w:val="20"/>
        </w:numPr>
        <w:ind w:left="1134" w:hanging="567"/>
        <w:rPr>
          <w:lang w:eastAsia="en-AU"/>
        </w:rPr>
      </w:pPr>
      <w:r w:rsidRPr="00F21347">
        <w:rPr>
          <w:lang w:eastAsia="en-AU"/>
        </w:rPr>
        <w:t>Construction of the associated road network and car parking;</w:t>
      </w:r>
    </w:p>
    <w:p w:rsidR="00610495" w:rsidRPr="00F21347" w:rsidRDefault="00610495" w:rsidP="00610495">
      <w:pPr>
        <w:numPr>
          <w:ilvl w:val="0"/>
          <w:numId w:val="20"/>
        </w:numPr>
        <w:ind w:left="1134" w:hanging="567"/>
        <w:rPr>
          <w:lang w:eastAsia="en-AU"/>
        </w:rPr>
      </w:pPr>
      <w:r w:rsidRPr="00F21347">
        <w:rPr>
          <w:lang w:eastAsia="en-AU"/>
        </w:rPr>
        <w:t>Construction of all necessary services; and</w:t>
      </w:r>
    </w:p>
    <w:p w:rsidR="00610495" w:rsidRPr="00F21347" w:rsidRDefault="00610495" w:rsidP="00610495">
      <w:pPr>
        <w:numPr>
          <w:ilvl w:val="0"/>
          <w:numId w:val="20"/>
        </w:numPr>
        <w:ind w:left="1134" w:hanging="567"/>
      </w:pPr>
      <w:r w:rsidRPr="00F21347">
        <w:rPr>
          <w:lang w:eastAsia="en-AU"/>
        </w:rPr>
        <w:t>Landscaping and open space.</w:t>
      </w:r>
    </w:p>
    <w:p w:rsidR="00610495" w:rsidRDefault="00610495" w:rsidP="00610495"/>
    <w:p w:rsidR="00610495" w:rsidRDefault="00610495" w:rsidP="00610495">
      <w:pPr>
        <w:jc w:val="center"/>
      </w:pPr>
      <w:r>
        <w:rPr>
          <w:noProof/>
          <w:lang w:eastAsia="en-AU"/>
        </w:rPr>
        <w:drawing>
          <wp:inline distT="0" distB="0" distL="0" distR="0" wp14:anchorId="1E21F19A" wp14:editId="173E54CC">
            <wp:extent cx="5486400" cy="421772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9753" cy="4220300"/>
                    </a:xfrm>
                    <a:prstGeom prst="rect">
                      <a:avLst/>
                    </a:prstGeom>
                    <a:noFill/>
                    <a:ln>
                      <a:noFill/>
                    </a:ln>
                  </pic:spPr>
                </pic:pic>
              </a:graphicData>
            </a:graphic>
          </wp:inline>
        </w:drawing>
      </w:r>
    </w:p>
    <w:p w:rsidR="00610495" w:rsidRPr="006C10FD" w:rsidRDefault="00610495" w:rsidP="00610495">
      <w:pPr>
        <w:jc w:val="center"/>
        <w:rPr>
          <w:b/>
          <w:sz w:val="20"/>
        </w:rPr>
      </w:pPr>
      <w:r w:rsidRPr="006C10FD">
        <w:rPr>
          <w:b/>
          <w:sz w:val="20"/>
        </w:rPr>
        <w:t>Figure 1: Approved Casuarina Town Centre Concept Plan (Original)</w:t>
      </w:r>
    </w:p>
    <w:p w:rsidR="00610495" w:rsidRDefault="00610495" w:rsidP="00610495"/>
    <w:p w:rsidR="00610495" w:rsidRDefault="00610495" w:rsidP="00610495">
      <w:pPr>
        <w:rPr>
          <w:lang w:eastAsia="en-AU"/>
        </w:rPr>
      </w:pPr>
      <w:r w:rsidRPr="00F21347">
        <w:rPr>
          <w:lang w:eastAsia="en-AU"/>
        </w:rPr>
        <w:t>Separately, Stage 1 Project Approval was granted for:</w:t>
      </w:r>
    </w:p>
    <w:p w:rsidR="00610495" w:rsidRPr="00F21347" w:rsidRDefault="00610495" w:rsidP="00610495">
      <w:pPr>
        <w:rPr>
          <w:lang w:eastAsia="en-AU"/>
        </w:rPr>
      </w:pPr>
    </w:p>
    <w:p w:rsidR="00610495" w:rsidRPr="00F21347" w:rsidRDefault="00610495" w:rsidP="00610495">
      <w:pPr>
        <w:numPr>
          <w:ilvl w:val="0"/>
          <w:numId w:val="20"/>
        </w:numPr>
        <w:ind w:left="1134" w:hanging="567"/>
        <w:rPr>
          <w:lang w:eastAsia="en-AU"/>
        </w:rPr>
      </w:pPr>
      <w:r w:rsidRPr="00F21347">
        <w:rPr>
          <w:lang w:eastAsia="en-AU"/>
        </w:rPr>
        <w:t>The subdivision of land into 61 lots;</w:t>
      </w:r>
    </w:p>
    <w:p w:rsidR="00610495" w:rsidRPr="00F21347" w:rsidRDefault="00610495" w:rsidP="00610495">
      <w:pPr>
        <w:numPr>
          <w:ilvl w:val="0"/>
          <w:numId w:val="20"/>
        </w:numPr>
        <w:ind w:left="1134" w:hanging="567"/>
        <w:rPr>
          <w:lang w:eastAsia="en-AU"/>
        </w:rPr>
      </w:pPr>
      <w:r w:rsidRPr="00F21347">
        <w:rPr>
          <w:lang w:eastAsia="en-AU"/>
        </w:rPr>
        <w:t xml:space="preserve">Construction of a retail centre comprising 2500m² supermarket, 1160m² of retail </w:t>
      </w:r>
      <w:r>
        <w:rPr>
          <w:lang w:eastAsia="en-AU"/>
        </w:rPr>
        <w:t>s</w:t>
      </w:r>
      <w:r w:rsidRPr="00F21347">
        <w:rPr>
          <w:lang w:eastAsia="en-AU"/>
        </w:rPr>
        <w:t>hops/restaurants, office space and car parking;</w:t>
      </w:r>
    </w:p>
    <w:p w:rsidR="00610495" w:rsidRPr="00F21347" w:rsidRDefault="00610495" w:rsidP="00610495">
      <w:pPr>
        <w:numPr>
          <w:ilvl w:val="0"/>
          <w:numId w:val="20"/>
        </w:numPr>
        <w:ind w:left="1134" w:hanging="567"/>
        <w:rPr>
          <w:lang w:eastAsia="en-AU"/>
        </w:rPr>
      </w:pPr>
      <w:r w:rsidRPr="00F21347">
        <w:rPr>
          <w:lang w:eastAsia="en-AU"/>
        </w:rPr>
        <w:t>Bulk earthworks and vegetation clearing;</w:t>
      </w:r>
    </w:p>
    <w:p w:rsidR="00610495" w:rsidRPr="00F21347" w:rsidRDefault="00610495" w:rsidP="00610495">
      <w:pPr>
        <w:numPr>
          <w:ilvl w:val="0"/>
          <w:numId w:val="20"/>
        </w:numPr>
        <w:ind w:left="1134" w:hanging="567"/>
        <w:rPr>
          <w:lang w:eastAsia="en-AU"/>
        </w:rPr>
      </w:pPr>
      <w:r w:rsidRPr="00F21347">
        <w:rPr>
          <w:lang w:eastAsia="en-AU"/>
        </w:rPr>
        <w:t>Construction of all roads;</w:t>
      </w:r>
    </w:p>
    <w:p w:rsidR="00610495" w:rsidRPr="00F21347" w:rsidRDefault="00610495" w:rsidP="00610495">
      <w:pPr>
        <w:numPr>
          <w:ilvl w:val="0"/>
          <w:numId w:val="20"/>
        </w:numPr>
        <w:ind w:left="1134" w:hanging="567"/>
        <w:rPr>
          <w:lang w:eastAsia="en-AU"/>
        </w:rPr>
      </w:pPr>
      <w:r w:rsidRPr="00F21347">
        <w:rPr>
          <w:lang w:eastAsia="en-AU"/>
        </w:rPr>
        <w:t>Closure of Dianella Drive;</w:t>
      </w:r>
    </w:p>
    <w:p w:rsidR="00610495" w:rsidRPr="00F21347" w:rsidRDefault="00610495" w:rsidP="00610495">
      <w:pPr>
        <w:numPr>
          <w:ilvl w:val="0"/>
          <w:numId w:val="20"/>
        </w:numPr>
        <w:ind w:left="1134" w:hanging="567"/>
        <w:rPr>
          <w:lang w:eastAsia="en-AU"/>
        </w:rPr>
      </w:pPr>
      <w:r w:rsidRPr="00F21347">
        <w:rPr>
          <w:lang w:eastAsia="en-AU"/>
        </w:rPr>
        <w:t>Provision of infrastructure and services; and</w:t>
      </w:r>
    </w:p>
    <w:p w:rsidR="00610495" w:rsidRPr="00F21347" w:rsidRDefault="00610495" w:rsidP="00610495">
      <w:pPr>
        <w:numPr>
          <w:ilvl w:val="0"/>
          <w:numId w:val="20"/>
        </w:numPr>
        <w:ind w:left="1134" w:hanging="567"/>
      </w:pPr>
      <w:r w:rsidRPr="00F21347">
        <w:rPr>
          <w:lang w:eastAsia="en-AU"/>
        </w:rPr>
        <w:t>Landscaping.</w:t>
      </w:r>
    </w:p>
    <w:p w:rsidR="00610495" w:rsidRDefault="00610495" w:rsidP="00610495"/>
    <w:p w:rsidR="00610495" w:rsidRDefault="00610495" w:rsidP="00610495">
      <w:r>
        <w:t>Modifications to these approvals have been subsequently approved on a number of occasions (see details in history below).</w:t>
      </w:r>
    </w:p>
    <w:p w:rsidR="00610495" w:rsidRDefault="00610495" w:rsidP="00610495"/>
    <w:p w:rsidR="00610495" w:rsidRPr="00B136F5" w:rsidRDefault="00B136F5" w:rsidP="00610495">
      <w:pPr>
        <w:rPr>
          <w:highlight w:val="green"/>
        </w:rPr>
      </w:pPr>
      <w:r w:rsidRPr="00B136F5">
        <w:t xml:space="preserve">In early 2016, a </w:t>
      </w:r>
      <w:r w:rsidR="00610495" w:rsidRPr="00B136F5">
        <w:t>Section 75W modification application</w:t>
      </w:r>
      <w:r w:rsidRPr="00B136F5">
        <w:t xml:space="preserve"> (MOD 10) was</w:t>
      </w:r>
      <w:r w:rsidR="00610495" w:rsidRPr="00B136F5">
        <w:t xml:space="preserve"> lodged with NSW Department of Planning &amp; Environment to further modify the Concept Plan and Project Approval for MP</w:t>
      </w:r>
      <w:r w:rsidR="00610495" w:rsidRPr="00B136F5">
        <w:rPr>
          <w:lang w:eastAsia="en-AU"/>
        </w:rPr>
        <w:t>06_0258.</w:t>
      </w:r>
      <w:r w:rsidR="00610495" w:rsidRPr="00B136F5">
        <w:t xml:space="preserve"> Th</w:t>
      </w:r>
      <w:r w:rsidRPr="00B136F5">
        <w:t xml:space="preserve">is </w:t>
      </w:r>
      <w:r w:rsidR="00610495" w:rsidRPr="00B136F5">
        <w:t>include</w:t>
      </w:r>
      <w:r w:rsidRPr="00B136F5">
        <w:t>d</w:t>
      </w:r>
      <w:r w:rsidR="00610495" w:rsidRPr="00B136F5">
        <w:t>:</w:t>
      </w:r>
    </w:p>
    <w:p w:rsidR="00610495" w:rsidRPr="00B136F5" w:rsidRDefault="00610495" w:rsidP="00610495">
      <w:pPr>
        <w:rPr>
          <w:highlight w:val="green"/>
        </w:rPr>
      </w:pPr>
    </w:p>
    <w:p w:rsidR="00610495" w:rsidRPr="00B136F5" w:rsidRDefault="00610495" w:rsidP="00610495">
      <w:pPr>
        <w:numPr>
          <w:ilvl w:val="0"/>
          <w:numId w:val="15"/>
        </w:numPr>
        <w:tabs>
          <w:tab w:val="left" w:pos="567"/>
          <w:tab w:val="left" w:pos="1134"/>
          <w:tab w:val="left" w:pos="1701"/>
          <w:tab w:val="left" w:pos="2268"/>
          <w:tab w:val="left" w:pos="2835"/>
          <w:tab w:val="left" w:pos="3402"/>
          <w:tab w:val="left" w:pos="3969"/>
          <w:tab w:val="left" w:pos="4536"/>
          <w:tab w:val="left" w:pos="5103"/>
          <w:tab w:val="left" w:pos="5670"/>
          <w:tab w:val="left" w:pos="6237"/>
        </w:tabs>
        <w:ind w:left="1134" w:hanging="567"/>
      </w:pPr>
      <w:r w:rsidRPr="00B136F5">
        <w:t>Modification of the approved lot layout and increase in the number of lots permitted on-site from 97 to 177;</w:t>
      </w:r>
    </w:p>
    <w:p w:rsidR="00610495" w:rsidRPr="00B136F5" w:rsidRDefault="00610495" w:rsidP="00610495">
      <w:pPr>
        <w:numPr>
          <w:ilvl w:val="0"/>
          <w:numId w:val="15"/>
        </w:numPr>
        <w:tabs>
          <w:tab w:val="left" w:pos="567"/>
          <w:tab w:val="left" w:pos="1134"/>
          <w:tab w:val="left" w:pos="1701"/>
          <w:tab w:val="left" w:pos="2268"/>
          <w:tab w:val="left" w:pos="2835"/>
          <w:tab w:val="left" w:pos="3402"/>
          <w:tab w:val="left" w:pos="3969"/>
          <w:tab w:val="left" w:pos="4536"/>
          <w:tab w:val="left" w:pos="5103"/>
          <w:tab w:val="left" w:pos="5670"/>
          <w:tab w:val="left" w:pos="6237"/>
        </w:tabs>
        <w:ind w:left="1134" w:hanging="567"/>
      </w:pPr>
      <w:r w:rsidRPr="00B136F5">
        <w:t>Modification of the built form controls to increase the height of buildings permitted along Grand Parade;</w:t>
      </w:r>
    </w:p>
    <w:p w:rsidR="00610495" w:rsidRPr="00B136F5" w:rsidRDefault="00610495" w:rsidP="00610495">
      <w:pPr>
        <w:numPr>
          <w:ilvl w:val="0"/>
          <w:numId w:val="15"/>
        </w:numPr>
        <w:tabs>
          <w:tab w:val="left" w:pos="567"/>
          <w:tab w:val="left" w:pos="1134"/>
          <w:tab w:val="left" w:pos="1701"/>
          <w:tab w:val="left" w:pos="2268"/>
          <w:tab w:val="left" w:pos="2835"/>
          <w:tab w:val="left" w:pos="3402"/>
          <w:tab w:val="left" w:pos="3969"/>
          <w:tab w:val="left" w:pos="4536"/>
          <w:tab w:val="left" w:pos="5103"/>
          <w:tab w:val="left" w:pos="5670"/>
          <w:tab w:val="left" w:pos="6237"/>
        </w:tabs>
        <w:ind w:left="1134" w:hanging="567"/>
      </w:pPr>
      <w:r w:rsidRPr="00B136F5">
        <w:t>Deletion of the approved hotel use;</w:t>
      </w:r>
    </w:p>
    <w:p w:rsidR="00610495" w:rsidRPr="00B136F5" w:rsidRDefault="00610495" w:rsidP="00610495">
      <w:pPr>
        <w:numPr>
          <w:ilvl w:val="0"/>
          <w:numId w:val="15"/>
        </w:numPr>
        <w:tabs>
          <w:tab w:val="left" w:pos="567"/>
          <w:tab w:val="left" w:pos="1134"/>
          <w:tab w:val="left" w:pos="1701"/>
          <w:tab w:val="left" w:pos="2268"/>
          <w:tab w:val="left" w:pos="2835"/>
          <w:tab w:val="left" w:pos="3402"/>
          <w:tab w:val="left" w:pos="3969"/>
          <w:tab w:val="left" w:pos="4536"/>
          <w:tab w:val="left" w:pos="5103"/>
          <w:tab w:val="left" w:pos="5670"/>
          <w:tab w:val="left" w:pos="6237"/>
        </w:tabs>
        <w:ind w:left="1134" w:hanging="567"/>
      </w:pPr>
      <w:r w:rsidRPr="00B136F5">
        <w:t>Revisions to the drainage concept to facilitate the filling of the existing drainage swale and the conversion of the swale to a 'green buffer';</w:t>
      </w:r>
    </w:p>
    <w:p w:rsidR="00610495" w:rsidRPr="00B136F5" w:rsidRDefault="00610495" w:rsidP="00610495">
      <w:pPr>
        <w:numPr>
          <w:ilvl w:val="0"/>
          <w:numId w:val="15"/>
        </w:numPr>
        <w:tabs>
          <w:tab w:val="left" w:pos="567"/>
          <w:tab w:val="left" w:pos="1134"/>
          <w:tab w:val="left" w:pos="1701"/>
          <w:tab w:val="left" w:pos="2268"/>
          <w:tab w:val="left" w:pos="2835"/>
          <w:tab w:val="left" w:pos="3402"/>
          <w:tab w:val="left" w:pos="3969"/>
          <w:tab w:val="left" w:pos="4536"/>
          <w:tab w:val="left" w:pos="5103"/>
          <w:tab w:val="left" w:pos="5670"/>
          <w:tab w:val="left" w:pos="6237"/>
        </w:tabs>
        <w:ind w:left="1134" w:hanging="567"/>
      </w:pPr>
      <w:r w:rsidRPr="00B136F5">
        <w:t>Changes to the timing for the provision of additional beach access;</w:t>
      </w:r>
    </w:p>
    <w:p w:rsidR="00610495" w:rsidRPr="00B136F5" w:rsidRDefault="00610495" w:rsidP="00610495">
      <w:pPr>
        <w:numPr>
          <w:ilvl w:val="0"/>
          <w:numId w:val="15"/>
        </w:numPr>
        <w:tabs>
          <w:tab w:val="left" w:pos="567"/>
          <w:tab w:val="left" w:pos="1134"/>
          <w:tab w:val="left" w:pos="1701"/>
          <w:tab w:val="left" w:pos="2268"/>
          <w:tab w:val="left" w:pos="2835"/>
          <w:tab w:val="left" w:pos="3402"/>
          <w:tab w:val="left" w:pos="3969"/>
          <w:tab w:val="left" w:pos="4536"/>
          <w:tab w:val="left" w:pos="5103"/>
          <w:tab w:val="left" w:pos="5670"/>
          <w:tab w:val="left" w:pos="6237"/>
        </w:tabs>
        <w:ind w:left="1134" w:hanging="567"/>
      </w:pPr>
      <w:r w:rsidRPr="00B136F5">
        <w:t>Changes to the approved staging plan; and</w:t>
      </w:r>
    </w:p>
    <w:p w:rsidR="00610495" w:rsidRPr="00B136F5" w:rsidRDefault="00610495" w:rsidP="00610495">
      <w:pPr>
        <w:numPr>
          <w:ilvl w:val="0"/>
          <w:numId w:val="15"/>
        </w:numPr>
        <w:tabs>
          <w:tab w:val="left" w:pos="567"/>
          <w:tab w:val="left" w:pos="1134"/>
          <w:tab w:val="left" w:pos="1701"/>
          <w:tab w:val="left" w:pos="2268"/>
          <w:tab w:val="left" w:pos="2835"/>
          <w:tab w:val="left" w:pos="3402"/>
          <w:tab w:val="left" w:pos="3969"/>
          <w:tab w:val="left" w:pos="4536"/>
          <w:tab w:val="left" w:pos="5103"/>
          <w:tab w:val="left" w:pos="5670"/>
          <w:tab w:val="left" w:pos="6237"/>
        </w:tabs>
        <w:ind w:left="1134" w:hanging="567"/>
      </w:pPr>
      <w:r w:rsidRPr="00B136F5">
        <w:t>Administrative changes to the conditions of approval in response to the above changes.</w:t>
      </w:r>
    </w:p>
    <w:p w:rsidR="00610495" w:rsidRPr="00B136F5" w:rsidRDefault="00610495" w:rsidP="00610495"/>
    <w:p w:rsidR="00B136F5" w:rsidRPr="00FB3927" w:rsidRDefault="00610495" w:rsidP="00610495">
      <w:r w:rsidRPr="00B136F5">
        <w:t>The Department placed the modification on public exhibition between Wednesday 24 February 2016 and Tu</w:t>
      </w:r>
      <w:r w:rsidRPr="00FB3927">
        <w:t xml:space="preserve">esday 29 March 2016. </w:t>
      </w:r>
    </w:p>
    <w:p w:rsidR="00B136F5" w:rsidRPr="00FB3927" w:rsidRDefault="00B136F5" w:rsidP="00610495"/>
    <w:p w:rsidR="00F1490A" w:rsidRPr="00FB3927" w:rsidRDefault="00B80BD5" w:rsidP="00610495">
      <w:r w:rsidRPr="00FB3927">
        <w:t>Tweed Shire Council provided a submission (endorsed by elected Council) to this MOD</w:t>
      </w:r>
      <w:r w:rsidR="00452B43" w:rsidRPr="00FB3927">
        <w:t xml:space="preserve"> 10</w:t>
      </w:r>
      <w:r w:rsidRPr="00FB3927">
        <w:t xml:space="preserve"> application</w:t>
      </w:r>
      <w:r w:rsidR="00452B43" w:rsidRPr="00FB3927">
        <w:t xml:space="preserve"> in April 2016</w:t>
      </w:r>
      <w:r w:rsidR="00AD193E" w:rsidRPr="00FB3927">
        <w:t>. Concerns were raised with respect</w:t>
      </w:r>
      <w:r w:rsidR="00F1490A" w:rsidRPr="00FB3927">
        <w:t xml:space="preserve"> to various aspects of the proposal, including stormwater drainage to the north boundary, reduction of ‘green buffer’ between Casuarina Town Centre an</w:t>
      </w:r>
      <w:r w:rsidR="00F1490A" w:rsidRPr="001A4672">
        <w:t>d residents to the north, the extent and location of retaining walls proposed, useability of public land,</w:t>
      </w:r>
      <w:r w:rsidR="00AF66BF">
        <w:t xml:space="preserve"> road layout</w:t>
      </w:r>
      <w:r w:rsidR="001A4672" w:rsidRPr="001A4672">
        <w:t xml:space="preserve"> and o</w:t>
      </w:r>
      <w:r w:rsidR="00FB3927" w:rsidRPr="001A4672">
        <w:t>wners consent</w:t>
      </w:r>
      <w:r w:rsidR="001A4672">
        <w:t xml:space="preserve"> for development on Council owned Community land.</w:t>
      </w:r>
    </w:p>
    <w:p w:rsidR="00F1490A" w:rsidRPr="00FB3927" w:rsidRDefault="00F1490A" w:rsidP="00610495"/>
    <w:p w:rsidR="00FB3927" w:rsidRPr="00FB3927" w:rsidRDefault="00F1490A" w:rsidP="00FB3927">
      <w:r w:rsidRPr="00FB3927">
        <w:t xml:space="preserve">Subsequent to Council’s submission to NSW Planning extensive consultation has occurred between the proponent and Council </w:t>
      </w:r>
      <w:r w:rsidR="00FB3927" w:rsidRPr="00FB3927">
        <w:t xml:space="preserve">over the past 18 months in an attempt to overcome the previously identified areas of concern. The resulting earthworks and stormwater solutions are considered a vast improvement on the previous design.  </w:t>
      </w:r>
    </w:p>
    <w:p w:rsidR="00FB3927" w:rsidRPr="00FB3927" w:rsidRDefault="00FB3927" w:rsidP="00FB3927"/>
    <w:p w:rsidR="00FB3927" w:rsidRDefault="00FB3927" w:rsidP="00FB3927">
      <w:r w:rsidRPr="00FB3927">
        <w:t>This enables Council officers to support the exhibition of a Plan of Management which would formalise the works in Council Community Land. This Plan of Management is currently on exhibition.</w:t>
      </w:r>
      <w:r>
        <w:t xml:space="preserve"> Furthermore, the proponent has submitted </w:t>
      </w:r>
      <w:r>
        <w:lastRenderedPageBreak/>
        <w:t>updated information by way of a Response to Submissions (RtS) to NSW Planning for consideration.</w:t>
      </w:r>
    </w:p>
    <w:p w:rsidR="005075E8" w:rsidRPr="00FB3927" w:rsidRDefault="005075E8" w:rsidP="00FB3927"/>
    <w:p w:rsidR="00915048" w:rsidRPr="00915048" w:rsidRDefault="00FB3927" w:rsidP="00FB3927">
      <w:r w:rsidRPr="00915048">
        <w:t xml:space="preserve">This RtS </w:t>
      </w:r>
      <w:r w:rsidR="00915048" w:rsidRPr="00915048">
        <w:t>has been notified to previous submitters, including Tweed Shire Council for comment. This report is an assessment of the amended proposal and, if endorsed by elected Council, will consist of the Tweed Shire Council submission to NSW Planning on the Casuarina Town Centre MOD 10 application. To this end, NSW Planning have advised the follwoning in notifying the updated application;</w:t>
      </w:r>
    </w:p>
    <w:p w:rsidR="00FB3927" w:rsidRPr="00915048" w:rsidRDefault="00FB3927" w:rsidP="00FB3927"/>
    <w:p w:rsidR="00915048" w:rsidRPr="00915048" w:rsidRDefault="00915048" w:rsidP="00915048">
      <w:pPr>
        <w:ind w:left="567"/>
        <w:rPr>
          <w:rFonts w:ascii="Arial" w:hAnsi="Arial"/>
          <w:i/>
        </w:rPr>
      </w:pPr>
    </w:p>
    <w:p w:rsidR="00915048" w:rsidRPr="00915048" w:rsidRDefault="00915048" w:rsidP="00915048">
      <w:pPr>
        <w:pStyle w:val="BodyText"/>
        <w:spacing w:after="0"/>
        <w:ind w:left="567"/>
        <w:rPr>
          <w:i/>
          <w:spacing w:val="0"/>
          <w:szCs w:val="22"/>
        </w:rPr>
      </w:pPr>
      <w:r w:rsidRPr="00915048">
        <w:rPr>
          <w:i/>
          <w:spacing w:val="0"/>
          <w:szCs w:val="22"/>
        </w:rPr>
        <w:t>The Clarence Property Corporation has submitted a response to submissions (RtS) for the modification of the Casuarina Town Centre in the Tweed Shire Local Government Area.</w:t>
      </w:r>
    </w:p>
    <w:p w:rsidR="00915048" w:rsidRPr="00915048" w:rsidRDefault="00915048" w:rsidP="00915048">
      <w:pPr>
        <w:pStyle w:val="BodyText"/>
        <w:spacing w:after="0"/>
        <w:ind w:left="567"/>
        <w:rPr>
          <w:i/>
          <w:spacing w:val="0"/>
          <w:sz w:val="28"/>
          <w:szCs w:val="22"/>
        </w:rPr>
      </w:pPr>
    </w:p>
    <w:p w:rsidR="00915048" w:rsidRPr="00915048" w:rsidRDefault="00915048" w:rsidP="00915048">
      <w:pPr>
        <w:spacing w:line="252" w:lineRule="auto"/>
        <w:ind w:left="567" w:right="-2"/>
        <w:jc w:val="both"/>
        <w:rPr>
          <w:rFonts w:ascii="Arial" w:hAnsi="Arial"/>
          <w:i/>
          <w:sz w:val="22"/>
          <w:szCs w:val="22"/>
        </w:rPr>
      </w:pPr>
      <w:r w:rsidRPr="00915048">
        <w:rPr>
          <w:rFonts w:ascii="Arial" w:hAnsi="Arial"/>
          <w:i/>
        </w:rPr>
        <w:t>The application seeks approval to:</w:t>
      </w:r>
    </w:p>
    <w:p w:rsidR="00915048" w:rsidRPr="00915048" w:rsidRDefault="00915048" w:rsidP="00915048">
      <w:pPr>
        <w:numPr>
          <w:ilvl w:val="0"/>
          <w:numId w:val="30"/>
        </w:numPr>
        <w:tabs>
          <w:tab w:val="clear" w:pos="720"/>
          <w:tab w:val="num" w:pos="1287"/>
        </w:tabs>
        <w:spacing w:line="252" w:lineRule="auto"/>
        <w:ind w:left="1287" w:right="540"/>
        <w:jc w:val="both"/>
        <w:rPr>
          <w:rFonts w:ascii="Arial" w:hAnsi="Arial"/>
          <w:i/>
        </w:rPr>
      </w:pPr>
      <w:r w:rsidRPr="00915048">
        <w:rPr>
          <w:rFonts w:ascii="Arial" w:hAnsi="Arial"/>
          <w:i/>
        </w:rPr>
        <w:t xml:space="preserve">modify the approved lot layout by replacing medium density lots with single dwellings lots. This would: </w:t>
      </w:r>
    </w:p>
    <w:p w:rsidR="00915048" w:rsidRPr="00915048" w:rsidRDefault="00915048" w:rsidP="00915048">
      <w:pPr>
        <w:numPr>
          <w:ilvl w:val="1"/>
          <w:numId w:val="30"/>
        </w:numPr>
        <w:spacing w:line="252" w:lineRule="auto"/>
        <w:ind w:left="2007" w:right="1080"/>
        <w:jc w:val="both"/>
        <w:rPr>
          <w:rFonts w:ascii="Arial" w:hAnsi="Arial"/>
          <w:i/>
        </w:rPr>
      </w:pPr>
      <w:r w:rsidRPr="00915048">
        <w:rPr>
          <w:rFonts w:ascii="Arial" w:hAnsi="Arial"/>
          <w:i/>
        </w:rPr>
        <w:t xml:space="preserve">Increase the total number of lots on the site from 97 to 178;  </w:t>
      </w:r>
    </w:p>
    <w:p w:rsidR="00915048" w:rsidRPr="00915048" w:rsidRDefault="00915048" w:rsidP="00915048">
      <w:pPr>
        <w:numPr>
          <w:ilvl w:val="1"/>
          <w:numId w:val="30"/>
        </w:numPr>
        <w:spacing w:line="252" w:lineRule="auto"/>
        <w:ind w:left="2007" w:right="1080"/>
        <w:jc w:val="both"/>
        <w:rPr>
          <w:rFonts w:ascii="Arial" w:hAnsi="Arial"/>
          <w:i/>
        </w:rPr>
      </w:pPr>
      <w:r w:rsidRPr="00915048">
        <w:rPr>
          <w:rFonts w:ascii="Arial" w:hAnsi="Arial"/>
          <w:i/>
        </w:rPr>
        <w:t xml:space="preserve">Reduce the total number of dwellings across the site from approximately 663 to 447 </w:t>
      </w:r>
    </w:p>
    <w:p w:rsidR="00915048" w:rsidRPr="00915048" w:rsidRDefault="00915048" w:rsidP="00915048">
      <w:pPr>
        <w:numPr>
          <w:ilvl w:val="0"/>
          <w:numId w:val="30"/>
        </w:numPr>
        <w:spacing w:line="252" w:lineRule="auto"/>
        <w:ind w:left="1287" w:right="540"/>
        <w:jc w:val="both"/>
        <w:rPr>
          <w:rFonts w:ascii="Arial" w:hAnsi="Arial"/>
          <w:i/>
        </w:rPr>
      </w:pPr>
      <w:r w:rsidRPr="00915048">
        <w:rPr>
          <w:rFonts w:ascii="Arial" w:hAnsi="Arial"/>
          <w:i/>
        </w:rPr>
        <w:t>modify the built form controls to increase the height of buildings permitted along Grand Parade;</w:t>
      </w:r>
    </w:p>
    <w:p w:rsidR="00915048" w:rsidRPr="00915048" w:rsidRDefault="00915048" w:rsidP="00915048">
      <w:pPr>
        <w:numPr>
          <w:ilvl w:val="0"/>
          <w:numId w:val="30"/>
        </w:numPr>
        <w:spacing w:line="252" w:lineRule="auto"/>
        <w:ind w:left="1287" w:right="540"/>
        <w:jc w:val="both"/>
        <w:rPr>
          <w:rFonts w:ascii="Arial" w:hAnsi="Arial"/>
          <w:i/>
        </w:rPr>
      </w:pPr>
      <w:r w:rsidRPr="00915048">
        <w:rPr>
          <w:rFonts w:ascii="Arial" w:hAnsi="Arial"/>
          <w:i/>
        </w:rPr>
        <w:t xml:space="preserve">delete the approved hotel use; </w:t>
      </w:r>
    </w:p>
    <w:p w:rsidR="00915048" w:rsidRPr="00915048" w:rsidRDefault="00915048" w:rsidP="00915048">
      <w:pPr>
        <w:numPr>
          <w:ilvl w:val="0"/>
          <w:numId w:val="30"/>
        </w:numPr>
        <w:spacing w:line="252" w:lineRule="auto"/>
        <w:ind w:left="1287" w:right="540"/>
        <w:jc w:val="both"/>
        <w:rPr>
          <w:rFonts w:ascii="Arial" w:hAnsi="Arial"/>
          <w:i/>
        </w:rPr>
      </w:pPr>
      <w:r w:rsidRPr="00915048">
        <w:rPr>
          <w:rFonts w:ascii="Arial" w:hAnsi="Arial"/>
          <w:i/>
        </w:rPr>
        <w:t xml:space="preserve">revise the drainage concept to facilitate the filling of an existing drainage swale and its conversion to a ‘green buffer’; </w:t>
      </w:r>
    </w:p>
    <w:p w:rsidR="00915048" w:rsidRPr="00915048" w:rsidRDefault="00915048" w:rsidP="00915048">
      <w:pPr>
        <w:numPr>
          <w:ilvl w:val="0"/>
          <w:numId w:val="30"/>
        </w:numPr>
        <w:spacing w:line="252" w:lineRule="auto"/>
        <w:ind w:left="1287" w:right="540"/>
        <w:jc w:val="both"/>
        <w:rPr>
          <w:rFonts w:ascii="Arial" w:hAnsi="Arial"/>
          <w:i/>
        </w:rPr>
      </w:pPr>
      <w:r w:rsidRPr="00915048">
        <w:rPr>
          <w:rFonts w:ascii="Arial" w:hAnsi="Arial"/>
          <w:i/>
        </w:rPr>
        <w:t xml:space="preserve">change the timing for the provision of additional beach access; </w:t>
      </w:r>
    </w:p>
    <w:p w:rsidR="00915048" w:rsidRPr="00915048" w:rsidRDefault="00915048" w:rsidP="00915048">
      <w:pPr>
        <w:numPr>
          <w:ilvl w:val="0"/>
          <w:numId w:val="30"/>
        </w:numPr>
        <w:spacing w:line="252" w:lineRule="auto"/>
        <w:ind w:left="1287" w:right="540"/>
        <w:jc w:val="both"/>
        <w:rPr>
          <w:rFonts w:ascii="Arial" w:hAnsi="Arial"/>
          <w:i/>
        </w:rPr>
      </w:pPr>
      <w:r w:rsidRPr="00915048">
        <w:rPr>
          <w:rFonts w:ascii="Arial" w:hAnsi="Arial"/>
          <w:i/>
        </w:rPr>
        <w:t>change the approved staging plan; and</w:t>
      </w:r>
    </w:p>
    <w:p w:rsidR="00915048" w:rsidRPr="00915048" w:rsidRDefault="00915048" w:rsidP="00915048">
      <w:pPr>
        <w:numPr>
          <w:ilvl w:val="0"/>
          <w:numId w:val="30"/>
        </w:numPr>
        <w:spacing w:line="252" w:lineRule="auto"/>
        <w:ind w:left="1287" w:right="540"/>
        <w:jc w:val="both"/>
        <w:rPr>
          <w:rFonts w:ascii="Arial" w:hAnsi="Arial"/>
          <w:i/>
        </w:rPr>
      </w:pPr>
      <w:r w:rsidRPr="00915048">
        <w:rPr>
          <w:rFonts w:ascii="Arial" w:hAnsi="Arial"/>
          <w:i/>
        </w:rPr>
        <w:t>administrative changes to the conditions of approval in response to the above changes.</w:t>
      </w:r>
    </w:p>
    <w:p w:rsidR="00915048" w:rsidRPr="00915048" w:rsidRDefault="00915048" w:rsidP="00915048">
      <w:pPr>
        <w:spacing w:line="252" w:lineRule="auto"/>
        <w:ind w:left="1287" w:right="540"/>
        <w:jc w:val="both"/>
        <w:rPr>
          <w:rFonts w:ascii="Arial" w:eastAsiaTheme="minorHAnsi" w:hAnsi="Arial"/>
          <w:i/>
        </w:rPr>
      </w:pPr>
    </w:p>
    <w:p w:rsidR="00915048" w:rsidRPr="00915048" w:rsidRDefault="00915048" w:rsidP="00915048">
      <w:pPr>
        <w:spacing w:line="252" w:lineRule="auto"/>
        <w:ind w:left="567" w:right="540"/>
        <w:jc w:val="both"/>
        <w:rPr>
          <w:rFonts w:ascii="Arial" w:hAnsi="Arial"/>
          <w:i/>
        </w:rPr>
      </w:pPr>
      <w:r w:rsidRPr="00915048">
        <w:rPr>
          <w:rFonts w:ascii="Arial" w:hAnsi="Arial"/>
          <w:i/>
        </w:rPr>
        <w:t xml:space="preserve">Key amendments proposed in RtS include:   </w:t>
      </w:r>
    </w:p>
    <w:p w:rsidR="00915048" w:rsidRPr="00915048" w:rsidRDefault="00915048" w:rsidP="00915048">
      <w:pPr>
        <w:numPr>
          <w:ilvl w:val="0"/>
          <w:numId w:val="31"/>
        </w:numPr>
        <w:spacing w:line="252" w:lineRule="auto"/>
        <w:ind w:left="1287" w:right="540"/>
        <w:jc w:val="both"/>
        <w:rPr>
          <w:rFonts w:ascii="Arial" w:hAnsi="Arial"/>
          <w:i/>
        </w:rPr>
      </w:pPr>
      <w:r w:rsidRPr="00915048">
        <w:rPr>
          <w:rFonts w:ascii="Arial" w:hAnsi="Arial"/>
          <w:i/>
        </w:rPr>
        <w:t xml:space="preserve">relocation of the local road outside the 20 metre green buffer to the northern boundary; and </w:t>
      </w:r>
    </w:p>
    <w:p w:rsidR="00915048" w:rsidRPr="00915048" w:rsidRDefault="00915048" w:rsidP="00915048">
      <w:pPr>
        <w:numPr>
          <w:ilvl w:val="0"/>
          <w:numId w:val="31"/>
        </w:numPr>
        <w:spacing w:line="252" w:lineRule="auto"/>
        <w:ind w:left="1287" w:right="540"/>
        <w:jc w:val="both"/>
        <w:rPr>
          <w:rFonts w:ascii="Arial" w:hAnsi="Arial"/>
          <w:i/>
        </w:rPr>
      </w:pPr>
      <w:r w:rsidRPr="00915048">
        <w:rPr>
          <w:rFonts w:ascii="Arial" w:hAnsi="Arial"/>
          <w:i/>
        </w:rPr>
        <w:t xml:space="preserve">an increase in lots in Stage 1E from 92 lots to 93 lots.  </w:t>
      </w:r>
    </w:p>
    <w:p w:rsidR="00915048" w:rsidRPr="00915048" w:rsidRDefault="00915048" w:rsidP="00FB3927"/>
    <w:p w:rsidR="00915048" w:rsidRPr="00BA6702" w:rsidRDefault="00915048" w:rsidP="00915048">
      <w:r w:rsidRPr="00BA6702">
        <w:t>The above matters are assessed in this report. The RtS has been reviewed by Council’s Development Assessment, Water &amp; Wastewater, Development Engineering, Environmental Health, Natural Resource Management and Recreation Services Units. Furthermore, the proposal has been reviewed by Co</w:t>
      </w:r>
      <w:r w:rsidR="00BA6702" w:rsidRPr="00BA6702">
        <w:t>uncil’s Infrastructure Engineers</w:t>
      </w:r>
      <w:r w:rsidRPr="00BA6702">
        <w:t xml:space="preserve"> who have provided comment with respect to stormwater management, and traffic/road layout.</w:t>
      </w:r>
    </w:p>
    <w:p w:rsidR="00FB3927" w:rsidRDefault="00FB3927" w:rsidP="00610495">
      <w:pPr>
        <w:rPr>
          <w:color w:val="FF0000"/>
        </w:rPr>
      </w:pPr>
    </w:p>
    <w:p w:rsidR="00BA6702" w:rsidRDefault="00BA6702" w:rsidP="00610495">
      <w:pPr>
        <w:rPr>
          <w:color w:val="FF0000"/>
        </w:rPr>
      </w:pPr>
    </w:p>
    <w:p w:rsidR="00610495" w:rsidRPr="000A1241" w:rsidRDefault="00610495" w:rsidP="00610495">
      <w:pPr>
        <w:rPr>
          <w:b/>
          <w:u w:val="single"/>
        </w:rPr>
      </w:pPr>
      <w:r w:rsidRPr="000A1241">
        <w:rPr>
          <w:b/>
          <w:u w:val="single"/>
        </w:rPr>
        <w:t>Site</w:t>
      </w:r>
    </w:p>
    <w:p w:rsidR="00610495" w:rsidRDefault="00610495" w:rsidP="00610495">
      <w:pPr>
        <w:rPr>
          <w:szCs w:val="22"/>
          <w:lang w:eastAsia="en-AU"/>
        </w:rPr>
      </w:pPr>
      <w:r>
        <w:rPr>
          <w:szCs w:val="22"/>
          <w:lang w:eastAsia="en-AU"/>
        </w:rPr>
        <w:t xml:space="preserve">The Casuarina Town Centre development was originally approved over a 26.2ha land area, identified in Figure 1 above. The site is located </w:t>
      </w:r>
      <w:r w:rsidRPr="009D6EDB">
        <w:rPr>
          <w:szCs w:val="22"/>
          <w:lang w:eastAsia="en-AU"/>
        </w:rPr>
        <w:t>adjacent to the Casuarina Beach foreshore</w:t>
      </w:r>
      <w:r>
        <w:rPr>
          <w:szCs w:val="22"/>
          <w:lang w:eastAsia="en-AU"/>
        </w:rPr>
        <w:t xml:space="preserve"> and has been partially developed since the original Concept and Project Approvals were issued in 2009. </w:t>
      </w:r>
    </w:p>
    <w:p w:rsidR="00610495" w:rsidRDefault="00610495" w:rsidP="00610495">
      <w:pPr>
        <w:rPr>
          <w:szCs w:val="22"/>
          <w:lang w:eastAsia="en-AU"/>
        </w:rPr>
      </w:pPr>
    </w:p>
    <w:p w:rsidR="002E638E" w:rsidRPr="002E638E" w:rsidRDefault="00610495" w:rsidP="00610495">
      <w:pPr>
        <w:rPr>
          <w:szCs w:val="22"/>
          <w:lang w:eastAsia="en-AU"/>
        </w:rPr>
      </w:pPr>
      <w:r>
        <w:rPr>
          <w:szCs w:val="22"/>
          <w:lang w:eastAsia="en-AU"/>
        </w:rPr>
        <w:t xml:space="preserve">This modification </w:t>
      </w:r>
      <w:r w:rsidR="00915048">
        <w:rPr>
          <w:szCs w:val="22"/>
          <w:lang w:eastAsia="en-AU"/>
        </w:rPr>
        <w:t>was originally submitted over</w:t>
      </w:r>
      <w:r>
        <w:rPr>
          <w:szCs w:val="22"/>
          <w:lang w:eastAsia="en-AU"/>
        </w:rPr>
        <w:t xml:space="preserve"> an 8.93ha portion of the development, located to the north-east corner of the original site. This would correlate with Lot 15 DP </w:t>
      </w:r>
      <w:r w:rsidRPr="002E638E">
        <w:rPr>
          <w:szCs w:val="22"/>
          <w:lang w:eastAsia="en-AU"/>
        </w:rPr>
        <w:t>1198266, for which landowners consent has been submitted to the Department of Planning and Environment.</w:t>
      </w:r>
      <w:r w:rsidR="002E638E" w:rsidRPr="002E638E">
        <w:rPr>
          <w:szCs w:val="22"/>
          <w:lang w:eastAsia="en-AU"/>
        </w:rPr>
        <w:t xml:space="preserve"> </w:t>
      </w:r>
      <w:r w:rsidRPr="002E638E">
        <w:rPr>
          <w:szCs w:val="22"/>
          <w:lang w:eastAsia="en-AU"/>
        </w:rPr>
        <w:t xml:space="preserve">However </w:t>
      </w:r>
      <w:r w:rsidR="002E638E" w:rsidRPr="002E638E">
        <w:rPr>
          <w:szCs w:val="22"/>
          <w:lang w:eastAsia="en-AU"/>
        </w:rPr>
        <w:t xml:space="preserve">it was noted through assessment of the MOD 10 submitted information that the </w:t>
      </w:r>
      <w:r w:rsidRPr="002E638E">
        <w:rPr>
          <w:szCs w:val="22"/>
          <w:lang w:eastAsia="en-AU"/>
        </w:rPr>
        <w:t>modified layout (reproduced under figures 2 &amp; 3 below) also includes Lot 13 DP 1014470, a 5.2 ha Tweed Shire Council owned parcel of land located adjacent to the coastal foreshore</w:t>
      </w:r>
      <w:r w:rsidR="00915048" w:rsidRPr="002E638E">
        <w:rPr>
          <w:szCs w:val="22"/>
          <w:lang w:eastAsia="en-AU"/>
        </w:rPr>
        <w:t xml:space="preserve">. </w:t>
      </w:r>
    </w:p>
    <w:p w:rsidR="002E638E" w:rsidRPr="002E638E" w:rsidRDefault="002E638E" w:rsidP="00610495">
      <w:pPr>
        <w:rPr>
          <w:szCs w:val="22"/>
          <w:lang w:eastAsia="en-AU"/>
        </w:rPr>
      </w:pPr>
    </w:p>
    <w:p w:rsidR="00915048" w:rsidRPr="002E638E" w:rsidRDefault="00915048" w:rsidP="00610495">
      <w:pPr>
        <w:rPr>
          <w:szCs w:val="22"/>
          <w:lang w:eastAsia="en-AU"/>
        </w:rPr>
      </w:pPr>
      <w:r w:rsidRPr="002E638E">
        <w:rPr>
          <w:szCs w:val="22"/>
          <w:lang w:eastAsia="en-AU"/>
        </w:rPr>
        <w:t>A Plan of Management</w:t>
      </w:r>
      <w:r w:rsidR="002E638E" w:rsidRPr="002E638E">
        <w:rPr>
          <w:szCs w:val="22"/>
          <w:lang w:eastAsia="en-AU"/>
        </w:rPr>
        <w:t xml:space="preserve"> is currently on exhibition to enable the proposed works within this land.</w:t>
      </w:r>
    </w:p>
    <w:p w:rsidR="00610495" w:rsidRDefault="00610495" w:rsidP="00610495">
      <w:pPr>
        <w:rPr>
          <w:szCs w:val="22"/>
          <w:lang w:eastAsia="en-AU"/>
        </w:rPr>
      </w:pPr>
    </w:p>
    <w:p w:rsidR="00610495" w:rsidRDefault="00610495" w:rsidP="00610495">
      <w:pPr>
        <w:jc w:val="center"/>
      </w:pPr>
      <w:r>
        <w:rPr>
          <w:noProof/>
          <w:lang w:eastAsia="en-AU"/>
        </w:rPr>
        <w:drawing>
          <wp:inline distT="0" distB="0" distL="0" distR="0" wp14:anchorId="4D47E442" wp14:editId="5A0CA31F">
            <wp:extent cx="4461611" cy="34719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472384" cy="3480298"/>
                    </a:xfrm>
                    <a:prstGeom prst="rect">
                      <a:avLst/>
                    </a:prstGeom>
                    <a:noFill/>
                    <a:ln>
                      <a:noFill/>
                    </a:ln>
                  </pic:spPr>
                </pic:pic>
              </a:graphicData>
            </a:graphic>
          </wp:inline>
        </w:drawing>
      </w:r>
    </w:p>
    <w:p w:rsidR="00610495" w:rsidRPr="00AC5939" w:rsidRDefault="00610495" w:rsidP="00610495">
      <w:pPr>
        <w:jc w:val="center"/>
        <w:rPr>
          <w:b/>
        </w:rPr>
      </w:pPr>
      <w:r>
        <w:rPr>
          <w:b/>
          <w:sz w:val="20"/>
        </w:rPr>
        <w:t xml:space="preserve">Figure 2: </w:t>
      </w:r>
      <w:r w:rsidRPr="00AC5939">
        <w:rPr>
          <w:b/>
          <w:sz w:val="20"/>
        </w:rPr>
        <w:t>Area of Proposed Development</w:t>
      </w:r>
    </w:p>
    <w:p w:rsidR="00610495" w:rsidRPr="00A8792B" w:rsidRDefault="00610495" w:rsidP="00610495">
      <w:pPr>
        <w:rPr>
          <w:szCs w:val="22"/>
          <w:lang w:eastAsia="en-AU"/>
        </w:rPr>
      </w:pPr>
    </w:p>
    <w:p w:rsidR="00610495" w:rsidRPr="00A8792B" w:rsidRDefault="00610495" w:rsidP="00610495">
      <w:pPr>
        <w:jc w:val="center"/>
        <w:rPr>
          <w:szCs w:val="22"/>
          <w:lang w:eastAsia="en-AU"/>
        </w:rPr>
      </w:pPr>
      <w:r w:rsidRPr="00A8792B">
        <w:rPr>
          <w:noProof/>
          <w:lang w:eastAsia="en-AU"/>
        </w:rPr>
        <w:lastRenderedPageBreak/>
        <w:drawing>
          <wp:inline distT="0" distB="0" distL="0" distR="0" wp14:anchorId="31DAD2B9" wp14:editId="32D2E3B7">
            <wp:extent cx="4946342" cy="321628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45832" cy="3215952"/>
                    </a:xfrm>
                    <a:prstGeom prst="rect">
                      <a:avLst/>
                    </a:prstGeom>
                    <a:noFill/>
                    <a:ln>
                      <a:noFill/>
                    </a:ln>
                  </pic:spPr>
                </pic:pic>
              </a:graphicData>
            </a:graphic>
          </wp:inline>
        </w:drawing>
      </w:r>
    </w:p>
    <w:p w:rsidR="00610495" w:rsidRDefault="00610495" w:rsidP="00610495">
      <w:pPr>
        <w:jc w:val="center"/>
        <w:rPr>
          <w:b/>
          <w:sz w:val="20"/>
          <w:szCs w:val="22"/>
          <w:lang w:eastAsia="en-AU"/>
        </w:rPr>
      </w:pPr>
      <w:r w:rsidRPr="002C2E7F">
        <w:rPr>
          <w:b/>
          <w:sz w:val="20"/>
          <w:szCs w:val="22"/>
          <w:lang w:eastAsia="en-AU"/>
        </w:rPr>
        <w:t xml:space="preserve">Figure 3: Aerial </w:t>
      </w:r>
      <w:r>
        <w:rPr>
          <w:b/>
          <w:sz w:val="20"/>
          <w:szCs w:val="22"/>
          <w:lang w:eastAsia="en-AU"/>
        </w:rPr>
        <w:t>I</w:t>
      </w:r>
      <w:r w:rsidRPr="002C2E7F">
        <w:rPr>
          <w:b/>
          <w:sz w:val="20"/>
          <w:szCs w:val="22"/>
          <w:lang w:eastAsia="en-AU"/>
        </w:rPr>
        <w:t xml:space="preserve">magery of </w:t>
      </w:r>
      <w:r>
        <w:rPr>
          <w:b/>
          <w:sz w:val="20"/>
          <w:szCs w:val="22"/>
          <w:lang w:eastAsia="en-AU"/>
        </w:rPr>
        <w:t>S</w:t>
      </w:r>
      <w:r w:rsidRPr="002C2E7F">
        <w:rPr>
          <w:b/>
          <w:sz w:val="20"/>
          <w:szCs w:val="22"/>
          <w:lang w:eastAsia="en-AU"/>
        </w:rPr>
        <w:t>ite</w:t>
      </w:r>
    </w:p>
    <w:p w:rsidR="00610495" w:rsidRDefault="00610495" w:rsidP="00610495"/>
    <w:p w:rsidR="00610495" w:rsidRPr="000A1241" w:rsidRDefault="00610495" w:rsidP="00610495">
      <w:pPr>
        <w:rPr>
          <w:b/>
          <w:u w:val="single"/>
        </w:rPr>
      </w:pPr>
      <w:r w:rsidRPr="000A1241">
        <w:rPr>
          <w:b/>
          <w:u w:val="single"/>
        </w:rPr>
        <w:t>History</w:t>
      </w:r>
    </w:p>
    <w:p w:rsidR="00610495" w:rsidRDefault="00610495" w:rsidP="00610495">
      <w:pPr>
        <w:rPr>
          <w:lang w:eastAsia="en-AU"/>
        </w:rPr>
      </w:pPr>
      <w:r w:rsidRPr="00C12351">
        <w:t xml:space="preserve">As outlined elsewhere in this report, </w:t>
      </w:r>
      <w:r>
        <w:t xml:space="preserve">Concept Plan and Stage 1 Project Approval was originally granted </w:t>
      </w:r>
      <w:r w:rsidRPr="00F21347">
        <w:rPr>
          <w:lang w:eastAsia="en-AU"/>
        </w:rPr>
        <w:t>on 20 September 2009</w:t>
      </w:r>
      <w:r>
        <w:rPr>
          <w:lang w:eastAsia="en-AU"/>
        </w:rPr>
        <w:t xml:space="preserve">. </w:t>
      </w:r>
      <w:r w:rsidRPr="00F21347">
        <w:rPr>
          <w:lang w:eastAsia="en-AU"/>
        </w:rPr>
        <w:t>The Concept Plan approval was granted for:</w:t>
      </w:r>
    </w:p>
    <w:p w:rsidR="00610495" w:rsidRPr="00F21347" w:rsidRDefault="00610495" w:rsidP="00610495">
      <w:pPr>
        <w:rPr>
          <w:lang w:eastAsia="en-AU"/>
        </w:rPr>
      </w:pPr>
    </w:p>
    <w:p w:rsidR="00610495" w:rsidRPr="00F21347" w:rsidRDefault="00610495" w:rsidP="00610495">
      <w:pPr>
        <w:numPr>
          <w:ilvl w:val="0"/>
          <w:numId w:val="20"/>
        </w:numPr>
        <w:ind w:left="1134" w:hanging="567"/>
        <w:rPr>
          <w:lang w:eastAsia="en-AU"/>
        </w:rPr>
      </w:pPr>
      <w:r w:rsidRPr="00F21347">
        <w:rPr>
          <w:lang w:eastAsia="en-AU"/>
        </w:rPr>
        <w:t>The subdivision of land in 61 lots including low and medium density residential, retail, commercial and mixed use lots;</w:t>
      </w:r>
    </w:p>
    <w:p w:rsidR="00610495" w:rsidRPr="00F21347" w:rsidRDefault="00610495" w:rsidP="00610495">
      <w:pPr>
        <w:numPr>
          <w:ilvl w:val="0"/>
          <w:numId w:val="20"/>
        </w:numPr>
        <w:ind w:left="1134" w:hanging="567"/>
        <w:rPr>
          <w:lang w:eastAsia="en-AU"/>
        </w:rPr>
      </w:pPr>
      <w:r w:rsidRPr="00F21347">
        <w:rPr>
          <w:lang w:eastAsia="en-AU"/>
        </w:rPr>
        <w:t>Construction of a retail centre comprising a supermarket, restaurants and shops;</w:t>
      </w:r>
    </w:p>
    <w:p w:rsidR="00610495" w:rsidRPr="00F21347" w:rsidRDefault="00610495" w:rsidP="00610495">
      <w:pPr>
        <w:numPr>
          <w:ilvl w:val="0"/>
          <w:numId w:val="20"/>
        </w:numPr>
        <w:ind w:left="1134" w:hanging="567"/>
        <w:rPr>
          <w:lang w:eastAsia="en-AU"/>
        </w:rPr>
      </w:pPr>
      <w:r w:rsidRPr="00F21347">
        <w:rPr>
          <w:lang w:eastAsia="en-AU"/>
        </w:rPr>
        <w:t>Construction of a hotel;</w:t>
      </w:r>
    </w:p>
    <w:p w:rsidR="00610495" w:rsidRPr="00F21347" w:rsidRDefault="00610495" w:rsidP="00610495">
      <w:pPr>
        <w:numPr>
          <w:ilvl w:val="0"/>
          <w:numId w:val="20"/>
        </w:numPr>
        <w:ind w:left="1134" w:hanging="567"/>
        <w:rPr>
          <w:lang w:eastAsia="en-AU"/>
        </w:rPr>
      </w:pPr>
      <w:r w:rsidRPr="00F21347">
        <w:rPr>
          <w:lang w:eastAsia="en-AU"/>
        </w:rPr>
        <w:t>Construction of the associated road network and car parking;</w:t>
      </w:r>
    </w:p>
    <w:p w:rsidR="00610495" w:rsidRPr="00F21347" w:rsidRDefault="00610495" w:rsidP="00610495">
      <w:pPr>
        <w:numPr>
          <w:ilvl w:val="0"/>
          <w:numId w:val="20"/>
        </w:numPr>
        <w:ind w:left="1134" w:hanging="567"/>
        <w:rPr>
          <w:lang w:eastAsia="en-AU"/>
        </w:rPr>
      </w:pPr>
      <w:r w:rsidRPr="00F21347">
        <w:rPr>
          <w:lang w:eastAsia="en-AU"/>
        </w:rPr>
        <w:t>Construction of all necessary services; and</w:t>
      </w:r>
    </w:p>
    <w:p w:rsidR="00610495" w:rsidRPr="00F21347" w:rsidRDefault="00610495" w:rsidP="00610495">
      <w:pPr>
        <w:numPr>
          <w:ilvl w:val="0"/>
          <w:numId w:val="20"/>
        </w:numPr>
        <w:ind w:left="1134" w:hanging="567"/>
      </w:pPr>
      <w:r w:rsidRPr="00F21347">
        <w:rPr>
          <w:lang w:eastAsia="en-AU"/>
        </w:rPr>
        <w:t>Landscaping and open space.</w:t>
      </w:r>
    </w:p>
    <w:p w:rsidR="00610495" w:rsidRDefault="00610495" w:rsidP="00610495">
      <w:pPr>
        <w:jc w:val="center"/>
      </w:pPr>
    </w:p>
    <w:p w:rsidR="00610495" w:rsidRDefault="00610495" w:rsidP="00610495">
      <w:pPr>
        <w:rPr>
          <w:lang w:eastAsia="en-AU"/>
        </w:rPr>
      </w:pPr>
      <w:r w:rsidRPr="00F21347">
        <w:rPr>
          <w:lang w:eastAsia="en-AU"/>
        </w:rPr>
        <w:t>Stage 1 Project Approval was granted for:</w:t>
      </w:r>
    </w:p>
    <w:p w:rsidR="00610495" w:rsidRPr="00F21347" w:rsidRDefault="00610495" w:rsidP="00610495">
      <w:pPr>
        <w:rPr>
          <w:lang w:eastAsia="en-AU"/>
        </w:rPr>
      </w:pPr>
    </w:p>
    <w:p w:rsidR="00610495" w:rsidRPr="00B817F1" w:rsidRDefault="00610495" w:rsidP="00610495">
      <w:pPr>
        <w:numPr>
          <w:ilvl w:val="0"/>
          <w:numId w:val="20"/>
        </w:numPr>
        <w:ind w:left="1134" w:hanging="567"/>
        <w:rPr>
          <w:lang w:eastAsia="en-AU"/>
        </w:rPr>
      </w:pPr>
      <w:r w:rsidRPr="00B817F1">
        <w:rPr>
          <w:lang w:eastAsia="en-AU"/>
        </w:rPr>
        <w:t>The subdivision of land into 61 lots;</w:t>
      </w:r>
    </w:p>
    <w:p w:rsidR="00610495" w:rsidRPr="00B817F1" w:rsidRDefault="00610495" w:rsidP="00610495">
      <w:pPr>
        <w:numPr>
          <w:ilvl w:val="0"/>
          <w:numId w:val="20"/>
        </w:numPr>
        <w:ind w:left="1134" w:hanging="567"/>
        <w:rPr>
          <w:lang w:eastAsia="en-AU"/>
        </w:rPr>
      </w:pPr>
      <w:r w:rsidRPr="00B817F1">
        <w:rPr>
          <w:lang w:eastAsia="en-AU"/>
        </w:rPr>
        <w:t>Construction of a retail centre comprising 2500m² supermarket, 1160m² of retail shops/restaurants, office space and car parking;</w:t>
      </w:r>
    </w:p>
    <w:p w:rsidR="00610495" w:rsidRPr="00B817F1" w:rsidRDefault="00610495" w:rsidP="00610495">
      <w:pPr>
        <w:numPr>
          <w:ilvl w:val="0"/>
          <w:numId w:val="20"/>
        </w:numPr>
        <w:ind w:left="1134" w:hanging="567"/>
        <w:rPr>
          <w:lang w:eastAsia="en-AU"/>
        </w:rPr>
      </w:pPr>
      <w:r w:rsidRPr="00B817F1">
        <w:rPr>
          <w:lang w:eastAsia="en-AU"/>
        </w:rPr>
        <w:t>Bulk earthworks and vegetation clearing;</w:t>
      </w:r>
    </w:p>
    <w:p w:rsidR="00610495" w:rsidRPr="00B817F1" w:rsidRDefault="00610495" w:rsidP="00610495">
      <w:pPr>
        <w:numPr>
          <w:ilvl w:val="0"/>
          <w:numId w:val="20"/>
        </w:numPr>
        <w:ind w:left="1134" w:hanging="567"/>
        <w:rPr>
          <w:lang w:eastAsia="en-AU"/>
        </w:rPr>
      </w:pPr>
      <w:r w:rsidRPr="00B817F1">
        <w:rPr>
          <w:lang w:eastAsia="en-AU"/>
        </w:rPr>
        <w:t>Construction of all roads;</w:t>
      </w:r>
    </w:p>
    <w:p w:rsidR="00610495" w:rsidRPr="00B817F1" w:rsidRDefault="00610495" w:rsidP="00610495">
      <w:pPr>
        <w:numPr>
          <w:ilvl w:val="0"/>
          <w:numId w:val="20"/>
        </w:numPr>
        <w:ind w:left="1134" w:hanging="567"/>
        <w:rPr>
          <w:lang w:eastAsia="en-AU"/>
        </w:rPr>
      </w:pPr>
      <w:r w:rsidRPr="00B817F1">
        <w:rPr>
          <w:lang w:eastAsia="en-AU"/>
        </w:rPr>
        <w:t>Closure of Dianella Drive;</w:t>
      </w:r>
    </w:p>
    <w:p w:rsidR="00610495" w:rsidRPr="00B817F1" w:rsidRDefault="00610495" w:rsidP="00610495">
      <w:pPr>
        <w:numPr>
          <w:ilvl w:val="0"/>
          <w:numId w:val="20"/>
        </w:numPr>
        <w:ind w:left="1134" w:hanging="567"/>
        <w:rPr>
          <w:lang w:eastAsia="en-AU"/>
        </w:rPr>
      </w:pPr>
      <w:r w:rsidRPr="00B817F1">
        <w:rPr>
          <w:lang w:eastAsia="en-AU"/>
        </w:rPr>
        <w:t>Provision of infrastructure and services; and</w:t>
      </w:r>
    </w:p>
    <w:p w:rsidR="00610495" w:rsidRPr="00B817F1" w:rsidRDefault="00610495" w:rsidP="00610495">
      <w:pPr>
        <w:numPr>
          <w:ilvl w:val="0"/>
          <w:numId w:val="20"/>
        </w:numPr>
        <w:ind w:left="1134" w:hanging="567"/>
      </w:pPr>
      <w:r w:rsidRPr="00B817F1">
        <w:rPr>
          <w:lang w:eastAsia="en-AU"/>
        </w:rPr>
        <w:t>Landscaping.</w:t>
      </w:r>
    </w:p>
    <w:p w:rsidR="00610495" w:rsidRDefault="00610495" w:rsidP="00610495">
      <w:pPr>
        <w:rPr>
          <w:highlight w:val="green"/>
        </w:rPr>
      </w:pPr>
    </w:p>
    <w:p w:rsidR="00610495" w:rsidRDefault="00610495" w:rsidP="00610495">
      <w:pPr>
        <w:rPr>
          <w:highlight w:val="green"/>
        </w:rPr>
      </w:pPr>
      <w:r w:rsidRPr="006A0514">
        <w:t xml:space="preserve">Subsequent to this, there have been (to date) nine modification applications to these approvals, as detailed below; </w:t>
      </w:r>
    </w:p>
    <w:p w:rsidR="00610495" w:rsidRDefault="00610495" w:rsidP="00610495">
      <w:pPr>
        <w:rPr>
          <w:highlight w:val="green"/>
        </w:rPr>
      </w:pPr>
    </w:p>
    <w:p w:rsidR="00610495" w:rsidRPr="00B817F1" w:rsidRDefault="00610495" w:rsidP="00610495">
      <w:r w:rsidRPr="00B817F1">
        <w:rPr>
          <w:u w:val="single"/>
        </w:rPr>
        <w:lastRenderedPageBreak/>
        <w:t>Mod 1</w:t>
      </w:r>
      <w:r w:rsidRPr="00B817F1">
        <w:t xml:space="preserve"> (Approved 17 June 2010) - Modifications include filling the existing drainage easement running through the site, and works to include piping of stormwater drainage through the former easement channel.  Modifications also include carrying out of stormwater infiltration and landscaping works within Lots 10 and 13, including extensions to the existing cycleway network and upgrades to public open space areas.  These modifications were a result of Tweed Shire Council granting the proponent owners consent to undertake stormwater, sewerage and landscape works in Council owned land as it was initially withheld.</w:t>
      </w:r>
    </w:p>
    <w:p w:rsidR="00610495" w:rsidRPr="007E0868" w:rsidRDefault="00610495" w:rsidP="00610495">
      <w:pPr>
        <w:rPr>
          <w:highlight w:val="green"/>
        </w:rPr>
      </w:pPr>
    </w:p>
    <w:p w:rsidR="00610495" w:rsidRPr="00BB686F" w:rsidRDefault="00610495" w:rsidP="00610495">
      <w:r w:rsidRPr="00BB686F">
        <w:rPr>
          <w:u w:val="single"/>
        </w:rPr>
        <w:t>Mod 2</w:t>
      </w:r>
      <w:r w:rsidRPr="00BB686F">
        <w:t xml:space="preserve"> (Approved 1 July 2011) – Modifications involve the carrying out of approved Stage 1 throughout two separate stages (Stage 1A and then the balance of Stage 1). The modified </w:t>
      </w:r>
      <w:r>
        <w:t>s</w:t>
      </w:r>
      <w:r w:rsidRPr="00BB686F">
        <w:t>taging regime was sought to provide a more logical sequence of services, including road connectivity; drainage and car parking; relocation of the swale; and, the provision of cycleway and pedestrian linkages.</w:t>
      </w:r>
    </w:p>
    <w:p w:rsidR="00610495" w:rsidRPr="00A55503" w:rsidRDefault="00610495" w:rsidP="00610495">
      <w:pPr>
        <w:rPr>
          <w:color w:val="004F5A" w:themeColor="text1"/>
          <w:highlight w:val="green"/>
        </w:rPr>
      </w:pPr>
    </w:p>
    <w:p w:rsidR="00610495" w:rsidRPr="00B817F1" w:rsidRDefault="00610495" w:rsidP="00610495">
      <w:r w:rsidRPr="00B817F1">
        <w:rPr>
          <w:u w:val="single"/>
        </w:rPr>
        <w:t>Mod 3</w:t>
      </w:r>
      <w:r w:rsidRPr="00B817F1">
        <w:t xml:space="preserve"> (Approved 7 March 2012)- </w:t>
      </w:r>
    </w:p>
    <w:p w:rsidR="00610495" w:rsidRPr="00B817F1" w:rsidRDefault="00610495" w:rsidP="00610495">
      <w:r w:rsidRPr="00B817F1">
        <w:t xml:space="preserve">This modification involved the following:  </w:t>
      </w:r>
    </w:p>
    <w:p w:rsidR="00610495" w:rsidRPr="00B817F1" w:rsidRDefault="00610495" w:rsidP="00610495">
      <w:pPr>
        <w:numPr>
          <w:ilvl w:val="0"/>
          <w:numId w:val="19"/>
        </w:numPr>
        <w:ind w:left="1134" w:hanging="567"/>
      </w:pPr>
      <w:r w:rsidRPr="00B817F1">
        <w:t>A reduction in the size of the approved supermarket building and floor space by 200m</w:t>
      </w:r>
      <w:r w:rsidRPr="00B817F1">
        <w:rPr>
          <w:vertAlign w:val="superscript"/>
        </w:rPr>
        <w:t>2</w:t>
      </w:r>
      <w:r w:rsidRPr="00B817F1">
        <w:t xml:space="preserve">, </w:t>
      </w:r>
    </w:p>
    <w:p w:rsidR="00610495" w:rsidRPr="00B817F1" w:rsidRDefault="00610495" w:rsidP="00610495">
      <w:pPr>
        <w:numPr>
          <w:ilvl w:val="0"/>
          <w:numId w:val="19"/>
        </w:numPr>
        <w:ind w:left="1134" w:hanging="567"/>
      </w:pPr>
      <w:r w:rsidRPr="00B817F1">
        <w:t>Reduction of the height and bulk of the supermarket building,</w:t>
      </w:r>
    </w:p>
    <w:p w:rsidR="00610495" w:rsidRPr="00B817F1" w:rsidRDefault="00610495" w:rsidP="00610495">
      <w:pPr>
        <w:numPr>
          <w:ilvl w:val="0"/>
          <w:numId w:val="19"/>
        </w:numPr>
        <w:ind w:left="1134" w:hanging="567"/>
      </w:pPr>
      <w:r w:rsidRPr="00B817F1">
        <w:t>A total reduction of floor space from 4,301m</w:t>
      </w:r>
      <w:r w:rsidRPr="00B817F1">
        <w:rPr>
          <w:vertAlign w:val="superscript"/>
        </w:rPr>
        <w:t>2</w:t>
      </w:r>
      <w:r w:rsidRPr="00B817F1">
        <w:t xml:space="preserve"> to 3,705m</w:t>
      </w:r>
      <w:r w:rsidRPr="00B817F1">
        <w:rPr>
          <w:vertAlign w:val="superscript"/>
        </w:rPr>
        <w:t>2</w:t>
      </w:r>
      <w:r w:rsidRPr="00B817F1">
        <w:t>,</w:t>
      </w:r>
    </w:p>
    <w:p w:rsidR="00610495" w:rsidRPr="00B817F1" w:rsidRDefault="00610495" w:rsidP="00610495">
      <w:pPr>
        <w:numPr>
          <w:ilvl w:val="0"/>
          <w:numId w:val="19"/>
        </w:numPr>
        <w:ind w:left="1134" w:hanging="567"/>
      </w:pPr>
      <w:r w:rsidRPr="00B817F1">
        <w:t xml:space="preserve">A relocation of the approved first floor office space, </w:t>
      </w:r>
    </w:p>
    <w:p w:rsidR="00610495" w:rsidRPr="00B817F1" w:rsidRDefault="00610495" w:rsidP="00610495">
      <w:pPr>
        <w:numPr>
          <w:ilvl w:val="0"/>
          <w:numId w:val="19"/>
        </w:numPr>
        <w:ind w:left="1134" w:hanging="567"/>
      </w:pPr>
      <w:r w:rsidRPr="00B817F1">
        <w:t xml:space="preserve">Replacement of an approved restaurant tenancy with a retail shop, </w:t>
      </w:r>
    </w:p>
    <w:p w:rsidR="00610495" w:rsidRPr="00B817F1" w:rsidRDefault="00610495" w:rsidP="00610495">
      <w:pPr>
        <w:numPr>
          <w:ilvl w:val="0"/>
          <w:numId w:val="19"/>
        </w:numPr>
        <w:ind w:left="1134" w:hanging="567"/>
      </w:pPr>
      <w:r w:rsidRPr="00B817F1">
        <w:t xml:space="preserve">Removal of basement car parking and provision of additional at-grade car parking resulting in an overall reduction of 14 spaces, </w:t>
      </w:r>
    </w:p>
    <w:p w:rsidR="00610495" w:rsidRDefault="00610495" w:rsidP="00610495">
      <w:pPr>
        <w:numPr>
          <w:ilvl w:val="0"/>
          <w:numId w:val="19"/>
        </w:numPr>
        <w:ind w:left="1134" w:hanging="567"/>
      </w:pPr>
      <w:r w:rsidRPr="00B817F1">
        <w:t>Adjustment of the loading dock, and</w:t>
      </w:r>
    </w:p>
    <w:p w:rsidR="00610495" w:rsidRPr="00FE422F" w:rsidRDefault="00610495" w:rsidP="00610495">
      <w:pPr>
        <w:numPr>
          <w:ilvl w:val="0"/>
          <w:numId w:val="19"/>
        </w:numPr>
        <w:ind w:left="1134" w:hanging="567"/>
      </w:pPr>
      <w:r w:rsidRPr="00FE422F">
        <w:t xml:space="preserve">Increased landscaping and signage.  </w:t>
      </w:r>
    </w:p>
    <w:p w:rsidR="00610495" w:rsidRDefault="00610495" w:rsidP="00610495">
      <w:pPr>
        <w:rPr>
          <w:highlight w:val="green"/>
        </w:rPr>
      </w:pPr>
    </w:p>
    <w:p w:rsidR="00610495" w:rsidRDefault="00610495" w:rsidP="00610495">
      <w:pPr>
        <w:rPr>
          <w:highlight w:val="cyan"/>
          <w:lang w:eastAsia="en-AU"/>
        </w:rPr>
      </w:pPr>
      <w:r w:rsidRPr="0012360F">
        <w:rPr>
          <w:u w:val="single"/>
          <w:lang w:eastAsia="en-AU"/>
        </w:rPr>
        <w:t>Mod 4</w:t>
      </w:r>
      <w:r w:rsidRPr="0012360F">
        <w:rPr>
          <w:lang w:eastAsia="en-AU"/>
        </w:rPr>
        <w:t xml:space="preserve"> (Approved 24 April 2014)</w:t>
      </w:r>
    </w:p>
    <w:p w:rsidR="00610495" w:rsidRPr="0012360F" w:rsidRDefault="00610495" w:rsidP="00610495">
      <w:pPr>
        <w:rPr>
          <w:lang w:eastAsia="en-AU"/>
        </w:rPr>
      </w:pPr>
      <w:r w:rsidRPr="0012360F">
        <w:rPr>
          <w:lang w:eastAsia="en-AU"/>
        </w:rPr>
        <w:t xml:space="preserve">This application relates to modification to the staging of the subdivision, consolidation of lots 7, 8, 9, 14 &amp; 15 into a development lot, modification of the approval to allow the sequencing for future stages to be varied with the written approval of the Department, modification of the timing to obtain approval for the beach access and an amendment to the timing in which Section 94 and Section 64 Contributions are paid for the shopping centre. </w:t>
      </w:r>
    </w:p>
    <w:p w:rsidR="00610495" w:rsidRDefault="00610495" w:rsidP="00610495">
      <w:pPr>
        <w:rPr>
          <w:highlight w:val="cyan"/>
          <w:lang w:eastAsia="en-AU"/>
        </w:rPr>
      </w:pPr>
    </w:p>
    <w:p w:rsidR="00610495" w:rsidRPr="00094F62" w:rsidRDefault="00610495" w:rsidP="00610495">
      <w:pPr>
        <w:jc w:val="center"/>
        <w:rPr>
          <w:color w:val="FF3A90" w:themeColor="accent4" w:themeTint="99"/>
          <w:highlight w:val="cyan"/>
          <w:lang w:eastAsia="en-AU"/>
        </w:rPr>
      </w:pPr>
      <w:r w:rsidRPr="00094F62">
        <w:rPr>
          <w:noProof/>
          <w:color w:val="FF3A90" w:themeColor="accent4" w:themeTint="99"/>
          <w:lang w:eastAsia="en-AU"/>
        </w:rPr>
        <w:lastRenderedPageBreak/>
        <w:drawing>
          <wp:inline distT="0" distB="0" distL="0" distR="0" wp14:anchorId="5F76BB85" wp14:editId="6904C790">
            <wp:extent cx="4833257" cy="619307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41159" cy="6203200"/>
                    </a:xfrm>
                    <a:prstGeom prst="rect">
                      <a:avLst/>
                    </a:prstGeom>
                    <a:noFill/>
                    <a:ln>
                      <a:noFill/>
                    </a:ln>
                  </pic:spPr>
                </pic:pic>
              </a:graphicData>
            </a:graphic>
          </wp:inline>
        </w:drawing>
      </w:r>
    </w:p>
    <w:p w:rsidR="00610495" w:rsidRPr="0012360F" w:rsidRDefault="00610495" w:rsidP="00610495">
      <w:pPr>
        <w:jc w:val="center"/>
        <w:rPr>
          <w:b/>
          <w:sz w:val="20"/>
          <w:lang w:eastAsia="en-AU"/>
        </w:rPr>
      </w:pPr>
      <w:r w:rsidRPr="002C2E7F">
        <w:rPr>
          <w:b/>
          <w:sz w:val="20"/>
          <w:szCs w:val="22"/>
          <w:lang w:eastAsia="en-AU"/>
        </w:rPr>
        <w:t xml:space="preserve">Figure </w:t>
      </w:r>
      <w:r>
        <w:rPr>
          <w:b/>
          <w:sz w:val="20"/>
          <w:szCs w:val="22"/>
          <w:lang w:eastAsia="en-AU"/>
        </w:rPr>
        <w:t>4</w:t>
      </w:r>
      <w:r w:rsidRPr="002C2E7F">
        <w:rPr>
          <w:b/>
          <w:sz w:val="20"/>
          <w:szCs w:val="22"/>
          <w:lang w:eastAsia="en-AU"/>
        </w:rPr>
        <w:t xml:space="preserve">: </w:t>
      </w:r>
      <w:r w:rsidRPr="0012360F">
        <w:rPr>
          <w:b/>
          <w:sz w:val="20"/>
          <w:lang w:eastAsia="en-AU"/>
        </w:rPr>
        <w:t>Mod 4 Concept Staging Plan</w:t>
      </w:r>
    </w:p>
    <w:p w:rsidR="00610495" w:rsidRPr="00B817F1" w:rsidRDefault="00610495" w:rsidP="00610495">
      <w:pPr>
        <w:rPr>
          <w:highlight w:val="cyan"/>
          <w:lang w:eastAsia="en-AU"/>
        </w:rPr>
      </w:pPr>
    </w:p>
    <w:p w:rsidR="00610495" w:rsidRPr="00B817F1" w:rsidRDefault="00610495" w:rsidP="00610495">
      <w:pPr>
        <w:rPr>
          <w:b/>
          <w:bCs/>
          <w:lang w:eastAsia="en-AU"/>
        </w:rPr>
      </w:pPr>
      <w:r w:rsidRPr="00B817F1">
        <w:rPr>
          <w:bCs/>
          <w:u w:val="single"/>
          <w:lang w:eastAsia="en-AU"/>
        </w:rPr>
        <w:t>Mod 5</w:t>
      </w:r>
      <w:r w:rsidRPr="00B817F1">
        <w:rPr>
          <w:b/>
          <w:bCs/>
          <w:lang w:eastAsia="en-AU"/>
        </w:rPr>
        <w:t xml:space="preserve"> </w:t>
      </w:r>
      <w:r w:rsidRPr="00B817F1">
        <w:rPr>
          <w:bCs/>
          <w:lang w:eastAsia="en-AU"/>
        </w:rPr>
        <w:t>(Approved 24 September 2013)</w:t>
      </w:r>
    </w:p>
    <w:p w:rsidR="00610495" w:rsidRDefault="00610495" w:rsidP="00610495">
      <w:pPr>
        <w:rPr>
          <w:lang w:eastAsia="en-AU"/>
        </w:rPr>
      </w:pPr>
      <w:r w:rsidRPr="00B817F1">
        <w:rPr>
          <w:lang w:eastAsia="en-AU"/>
        </w:rPr>
        <w:t>Modification 5 approved an amendment to the location of a retaining wall on the south</w:t>
      </w:r>
      <w:r>
        <w:rPr>
          <w:lang w:eastAsia="en-AU"/>
        </w:rPr>
        <w:t xml:space="preserve"> </w:t>
      </w:r>
      <w:r w:rsidRPr="00B817F1">
        <w:rPr>
          <w:lang w:eastAsia="en-AU"/>
        </w:rPr>
        <w:t>east</w:t>
      </w:r>
      <w:r>
        <w:rPr>
          <w:lang w:eastAsia="en-AU"/>
        </w:rPr>
        <w:t xml:space="preserve"> </w:t>
      </w:r>
      <w:r w:rsidRPr="00B817F1">
        <w:rPr>
          <w:lang w:eastAsia="en-AU"/>
        </w:rPr>
        <w:t>boundary of the Casuarina Town Centre site adjacent to the cul-de-sac of Road 6.</w:t>
      </w:r>
    </w:p>
    <w:p w:rsidR="00610495" w:rsidRDefault="00610495" w:rsidP="00610495">
      <w:pPr>
        <w:rPr>
          <w:lang w:eastAsia="en-AU"/>
        </w:rPr>
      </w:pPr>
    </w:p>
    <w:p w:rsidR="00610495" w:rsidRDefault="00610495" w:rsidP="00610495">
      <w:pPr>
        <w:rPr>
          <w:bCs/>
          <w:lang w:eastAsia="en-AU"/>
        </w:rPr>
      </w:pPr>
      <w:r w:rsidRPr="0012360F">
        <w:rPr>
          <w:bCs/>
          <w:u w:val="single"/>
          <w:lang w:eastAsia="en-AU"/>
        </w:rPr>
        <w:t>Mod 6</w:t>
      </w:r>
      <w:r w:rsidRPr="0012360F">
        <w:rPr>
          <w:bCs/>
          <w:lang w:eastAsia="en-AU"/>
        </w:rPr>
        <w:t xml:space="preserve"> (Approved</w:t>
      </w:r>
      <w:r>
        <w:rPr>
          <w:bCs/>
          <w:lang w:eastAsia="en-AU"/>
        </w:rPr>
        <w:t xml:space="preserve"> 16 May 2014)</w:t>
      </w:r>
    </w:p>
    <w:p w:rsidR="00610495" w:rsidRDefault="00610495" w:rsidP="00610495">
      <w:r w:rsidRPr="004017AB">
        <w:t>Modification to the Concept Plan and Stage 1 Project Application for the Ca</w:t>
      </w:r>
      <w:r>
        <w:t xml:space="preserve">suarina Town Centre involving: </w:t>
      </w:r>
    </w:p>
    <w:p w:rsidR="00610495" w:rsidRDefault="00610495" w:rsidP="00610495">
      <w:pPr>
        <w:ind w:left="1134" w:hanging="567"/>
      </w:pPr>
      <w:r w:rsidRPr="004017AB">
        <w:t>-</w:t>
      </w:r>
      <w:r>
        <w:tab/>
      </w:r>
      <w:r w:rsidRPr="004017AB">
        <w:t>change of use of Lots 7,8 ,9, 14 &amp;15 from medium density residential to low density residential (single-dwelling use);</w:t>
      </w:r>
    </w:p>
    <w:p w:rsidR="00610495" w:rsidRDefault="00610495" w:rsidP="00610495">
      <w:pPr>
        <w:ind w:left="1134" w:hanging="567"/>
      </w:pPr>
      <w:r w:rsidRPr="004017AB">
        <w:t>-</w:t>
      </w:r>
      <w:r>
        <w:tab/>
      </w:r>
      <w:r w:rsidRPr="004017AB">
        <w:t xml:space="preserve">40 lot Torrens title subdivision of adjoining Lots 7, 8, 9, 14 &amp; 15 with associated civil works; </w:t>
      </w:r>
    </w:p>
    <w:p w:rsidR="00610495" w:rsidRDefault="00610495" w:rsidP="00610495">
      <w:pPr>
        <w:ind w:left="567"/>
      </w:pPr>
      <w:r w:rsidRPr="004017AB">
        <w:t>-</w:t>
      </w:r>
      <w:r>
        <w:tab/>
      </w:r>
      <w:r w:rsidRPr="004017AB">
        <w:t xml:space="preserve">the introduction of additional Stages 1B and 1C; </w:t>
      </w:r>
    </w:p>
    <w:p w:rsidR="00610495" w:rsidRDefault="00610495" w:rsidP="00610495">
      <w:pPr>
        <w:ind w:left="567"/>
      </w:pPr>
      <w:r w:rsidRPr="004017AB">
        <w:lastRenderedPageBreak/>
        <w:t>-</w:t>
      </w:r>
      <w:r>
        <w:tab/>
      </w:r>
      <w:r w:rsidRPr="004017AB">
        <w:t xml:space="preserve">a two-lot subdivision of commercial Lot 2; and </w:t>
      </w:r>
    </w:p>
    <w:p w:rsidR="00610495" w:rsidRDefault="00610495" w:rsidP="00610495">
      <w:pPr>
        <w:ind w:left="567"/>
      </w:pPr>
      <w:r w:rsidRPr="004017AB">
        <w:t>-</w:t>
      </w:r>
      <w:r>
        <w:tab/>
      </w:r>
      <w:r w:rsidRPr="004017AB">
        <w:t>a request to allow for small lot housing within the town centre site.</w:t>
      </w:r>
    </w:p>
    <w:p w:rsidR="00610495" w:rsidRDefault="00610495" w:rsidP="00610495"/>
    <w:p w:rsidR="00610495" w:rsidRPr="007F7B41" w:rsidRDefault="00610495" w:rsidP="00610495">
      <w:pPr>
        <w:rPr>
          <w:lang w:eastAsia="en-AU"/>
        </w:rPr>
      </w:pPr>
      <w:r w:rsidRPr="007F7B41">
        <w:rPr>
          <w:lang w:eastAsia="en-AU"/>
        </w:rPr>
        <w:t>The 40 lot subdivision layout approved under this Mod is</w:t>
      </w:r>
      <w:r>
        <w:rPr>
          <w:lang w:eastAsia="en-AU"/>
        </w:rPr>
        <w:t xml:space="preserve"> located to the south of the area subject to this application and is</w:t>
      </w:r>
      <w:r w:rsidRPr="007F7B41">
        <w:rPr>
          <w:lang w:eastAsia="en-AU"/>
        </w:rPr>
        <w:t xml:space="preserve"> demonstrated under Figure 4 below;</w:t>
      </w:r>
    </w:p>
    <w:p w:rsidR="00610495" w:rsidRPr="007F7B41" w:rsidRDefault="00610495" w:rsidP="00610495">
      <w:pPr>
        <w:rPr>
          <w:lang w:eastAsia="en-AU"/>
        </w:rPr>
      </w:pPr>
    </w:p>
    <w:p w:rsidR="00610495" w:rsidRPr="007F7B41" w:rsidRDefault="00610495" w:rsidP="00610495">
      <w:pPr>
        <w:jc w:val="center"/>
        <w:rPr>
          <w:lang w:eastAsia="en-AU"/>
        </w:rPr>
      </w:pPr>
      <w:r w:rsidRPr="007F7B41">
        <w:rPr>
          <w:noProof/>
          <w:lang w:eastAsia="en-AU"/>
        </w:rPr>
        <w:drawing>
          <wp:inline distT="0" distB="0" distL="0" distR="0" wp14:anchorId="7768CEE1" wp14:editId="0AD57957">
            <wp:extent cx="4820402" cy="590441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23121" cy="5907742"/>
                    </a:xfrm>
                    <a:prstGeom prst="rect">
                      <a:avLst/>
                    </a:prstGeom>
                    <a:noFill/>
                    <a:ln>
                      <a:noFill/>
                    </a:ln>
                  </pic:spPr>
                </pic:pic>
              </a:graphicData>
            </a:graphic>
          </wp:inline>
        </w:drawing>
      </w:r>
    </w:p>
    <w:p w:rsidR="00610495" w:rsidRPr="007F7B41" w:rsidRDefault="00610495" w:rsidP="00610495">
      <w:pPr>
        <w:jc w:val="center"/>
        <w:rPr>
          <w:b/>
          <w:lang w:eastAsia="en-AU"/>
        </w:rPr>
      </w:pPr>
      <w:r w:rsidRPr="007F7B41">
        <w:rPr>
          <w:b/>
          <w:sz w:val="20"/>
          <w:lang w:eastAsia="en-AU"/>
        </w:rPr>
        <w:t xml:space="preserve">Figure </w:t>
      </w:r>
      <w:r>
        <w:rPr>
          <w:b/>
          <w:sz w:val="20"/>
          <w:lang w:eastAsia="en-AU"/>
        </w:rPr>
        <w:t>5</w:t>
      </w:r>
      <w:r w:rsidRPr="007F7B41">
        <w:rPr>
          <w:b/>
          <w:sz w:val="20"/>
          <w:lang w:eastAsia="en-AU"/>
        </w:rPr>
        <w:t xml:space="preserve">: </w:t>
      </w:r>
      <w:r>
        <w:rPr>
          <w:b/>
          <w:sz w:val="20"/>
          <w:lang w:eastAsia="en-AU"/>
        </w:rPr>
        <w:t xml:space="preserve">Mod 6 </w:t>
      </w:r>
      <w:r w:rsidRPr="007F7B41">
        <w:rPr>
          <w:b/>
          <w:sz w:val="20"/>
          <w:lang w:eastAsia="en-AU"/>
        </w:rPr>
        <w:t>Approved 40 lot subdivision</w:t>
      </w:r>
      <w:r>
        <w:rPr>
          <w:b/>
          <w:sz w:val="20"/>
          <w:lang w:eastAsia="en-AU"/>
        </w:rPr>
        <w:t xml:space="preserve"> </w:t>
      </w:r>
    </w:p>
    <w:p w:rsidR="00610495" w:rsidRDefault="00610495" w:rsidP="00610495">
      <w:pPr>
        <w:rPr>
          <w:highlight w:val="cyan"/>
          <w:lang w:eastAsia="en-AU"/>
        </w:rPr>
      </w:pPr>
    </w:p>
    <w:p w:rsidR="00610495" w:rsidRPr="00C418DD" w:rsidRDefault="00610495" w:rsidP="00610495">
      <w:pPr>
        <w:rPr>
          <w:bCs/>
          <w:highlight w:val="cyan"/>
          <w:lang w:eastAsia="en-AU"/>
        </w:rPr>
      </w:pPr>
      <w:r w:rsidRPr="00C418DD">
        <w:rPr>
          <w:bCs/>
          <w:u w:val="single"/>
          <w:lang w:eastAsia="en-AU"/>
        </w:rPr>
        <w:t>Mod 7</w:t>
      </w:r>
      <w:r w:rsidRPr="00C418DD">
        <w:rPr>
          <w:bCs/>
          <w:lang w:eastAsia="en-AU"/>
        </w:rPr>
        <w:t xml:space="preserve"> (Approved 18 June 2014)</w:t>
      </w:r>
    </w:p>
    <w:p w:rsidR="00610495" w:rsidRDefault="00610495" w:rsidP="00610495">
      <w:r>
        <w:t xml:space="preserve">Modification to the retail centre approved as part of the Stage 1 Project Application for the Casuarina Town Centre. The modification involved: </w:t>
      </w:r>
    </w:p>
    <w:p w:rsidR="00610495" w:rsidRDefault="00610495" w:rsidP="00610495">
      <w:pPr>
        <w:ind w:left="567"/>
      </w:pPr>
      <w:r>
        <w:t>-</w:t>
      </w:r>
      <w:r>
        <w:tab/>
        <w:t xml:space="preserve">a 1,000sqm increase in gross floor area of the supermarket; </w:t>
      </w:r>
    </w:p>
    <w:p w:rsidR="00610495" w:rsidRDefault="00610495" w:rsidP="00610495">
      <w:pPr>
        <w:ind w:left="567"/>
      </w:pPr>
      <w:r>
        <w:t>-</w:t>
      </w:r>
      <w:r>
        <w:tab/>
        <w:t xml:space="preserve">a 581sqm increase in gross floor area of specialty retail; </w:t>
      </w:r>
    </w:p>
    <w:p w:rsidR="00610495" w:rsidRDefault="00610495" w:rsidP="00610495">
      <w:pPr>
        <w:ind w:left="567"/>
      </w:pPr>
      <w:r>
        <w:t>-</w:t>
      </w:r>
      <w:r>
        <w:tab/>
        <w:t xml:space="preserve">amended car parking arrangements within the retail centre; and </w:t>
      </w:r>
    </w:p>
    <w:p w:rsidR="00610495" w:rsidRDefault="00610495" w:rsidP="00610495">
      <w:pPr>
        <w:ind w:left="567"/>
      </w:pPr>
      <w:r>
        <w:t>-</w:t>
      </w:r>
      <w:r>
        <w:tab/>
        <w:t>amendments to section 94 contributions.</w:t>
      </w:r>
    </w:p>
    <w:p w:rsidR="00610495" w:rsidRDefault="00610495" w:rsidP="00610495">
      <w:pPr>
        <w:rPr>
          <w:b/>
          <w:highlight w:val="cyan"/>
        </w:rPr>
      </w:pPr>
    </w:p>
    <w:p w:rsidR="00610495" w:rsidRPr="00B817F1" w:rsidRDefault="00610495" w:rsidP="00610495">
      <w:pPr>
        <w:rPr>
          <w:b/>
          <w:bCs/>
          <w:highlight w:val="cyan"/>
          <w:lang w:eastAsia="en-AU"/>
        </w:rPr>
      </w:pPr>
      <w:r w:rsidRPr="006A0514">
        <w:rPr>
          <w:bCs/>
          <w:u w:val="single"/>
          <w:lang w:eastAsia="en-AU"/>
        </w:rPr>
        <w:t xml:space="preserve">Mod </w:t>
      </w:r>
      <w:r>
        <w:rPr>
          <w:bCs/>
          <w:u w:val="single"/>
          <w:lang w:eastAsia="en-AU"/>
        </w:rPr>
        <w:t>8</w:t>
      </w:r>
      <w:r w:rsidRPr="006A0514">
        <w:rPr>
          <w:b/>
          <w:bCs/>
          <w:lang w:eastAsia="en-AU"/>
        </w:rPr>
        <w:t xml:space="preserve"> </w:t>
      </w:r>
      <w:r w:rsidRPr="006A0514">
        <w:rPr>
          <w:bCs/>
          <w:lang w:eastAsia="en-AU"/>
        </w:rPr>
        <w:t xml:space="preserve">(Approved </w:t>
      </w:r>
      <w:r>
        <w:rPr>
          <w:bCs/>
          <w:lang w:eastAsia="en-AU"/>
        </w:rPr>
        <w:t>21</w:t>
      </w:r>
      <w:r w:rsidRPr="006A0514">
        <w:rPr>
          <w:bCs/>
          <w:lang w:eastAsia="en-AU"/>
        </w:rPr>
        <w:t xml:space="preserve"> J</w:t>
      </w:r>
      <w:r>
        <w:rPr>
          <w:bCs/>
          <w:lang w:eastAsia="en-AU"/>
        </w:rPr>
        <w:t>anuary</w:t>
      </w:r>
      <w:r w:rsidRPr="006A0514">
        <w:rPr>
          <w:bCs/>
          <w:lang w:eastAsia="en-AU"/>
        </w:rPr>
        <w:t xml:space="preserve"> 201</w:t>
      </w:r>
      <w:r>
        <w:rPr>
          <w:bCs/>
          <w:lang w:eastAsia="en-AU"/>
        </w:rPr>
        <w:t>5</w:t>
      </w:r>
      <w:r w:rsidRPr="006A0514">
        <w:rPr>
          <w:b/>
          <w:bCs/>
          <w:lang w:eastAsia="en-AU"/>
        </w:rPr>
        <w:t>)</w:t>
      </w:r>
    </w:p>
    <w:p w:rsidR="00610495" w:rsidRPr="00C418DD" w:rsidRDefault="00610495" w:rsidP="00610495">
      <w:r>
        <w:lastRenderedPageBreak/>
        <w:t xml:space="preserve">Modification to Project Approval including design changes to the retail shopping centre </w:t>
      </w:r>
      <w:r w:rsidRPr="00C418DD">
        <w:t>comprising an amended roof design and new design and finishes to all facades. A new 12m high pylon sign was also approved to the north</w:t>
      </w:r>
      <w:r>
        <w:t>-</w:t>
      </w:r>
      <w:r w:rsidRPr="00C418DD">
        <w:t>west corner of the shopping centre site.</w:t>
      </w:r>
    </w:p>
    <w:p w:rsidR="00610495" w:rsidRPr="00B817F1" w:rsidRDefault="00610495" w:rsidP="00610495">
      <w:pPr>
        <w:rPr>
          <w:highlight w:val="cyan"/>
          <w:lang w:eastAsia="en-AU"/>
        </w:rPr>
      </w:pPr>
    </w:p>
    <w:p w:rsidR="00610495" w:rsidRPr="00B817F1" w:rsidRDefault="00610495" w:rsidP="00610495">
      <w:pPr>
        <w:rPr>
          <w:b/>
          <w:bCs/>
          <w:highlight w:val="cyan"/>
          <w:lang w:eastAsia="en-AU"/>
        </w:rPr>
      </w:pPr>
      <w:r w:rsidRPr="006A0514">
        <w:rPr>
          <w:bCs/>
          <w:u w:val="single"/>
          <w:lang w:eastAsia="en-AU"/>
        </w:rPr>
        <w:t>Mod 9</w:t>
      </w:r>
      <w:r w:rsidRPr="006A0514">
        <w:rPr>
          <w:b/>
          <w:bCs/>
          <w:lang w:eastAsia="en-AU"/>
        </w:rPr>
        <w:t xml:space="preserve"> </w:t>
      </w:r>
      <w:r w:rsidRPr="006A0514">
        <w:rPr>
          <w:bCs/>
          <w:lang w:eastAsia="en-AU"/>
        </w:rPr>
        <w:t>(Approved 15 June 201</w:t>
      </w:r>
      <w:r>
        <w:rPr>
          <w:bCs/>
          <w:lang w:eastAsia="en-AU"/>
        </w:rPr>
        <w:t>5</w:t>
      </w:r>
      <w:r w:rsidRPr="00B136F5">
        <w:rPr>
          <w:bCs/>
          <w:lang w:eastAsia="en-AU"/>
        </w:rPr>
        <w:t>)</w:t>
      </w:r>
    </w:p>
    <w:p w:rsidR="00610495" w:rsidRDefault="00610495" w:rsidP="00610495">
      <w:r>
        <w:t>Further modification to Project Approval including design changes to the retail shopping centre as a consequence of the detailed design process and tenant requirements.</w:t>
      </w:r>
    </w:p>
    <w:p w:rsidR="00610495" w:rsidRDefault="00610495" w:rsidP="00610495">
      <w:pPr>
        <w:rPr>
          <w:b/>
        </w:rPr>
      </w:pPr>
    </w:p>
    <w:p w:rsidR="004C00BC" w:rsidRPr="00B817F1" w:rsidRDefault="004C00BC" w:rsidP="004C00BC">
      <w:pPr>
        <w:rPr>
          <w:b/>
          <w:bCs/>
          <w:highlight w:val="cyan"/>
          <w:lang w:eastAsia="en-AU"/>
        </w:rPr>
      </w:pPr>
      <w:r w:rsidRPr="006A0514">
        <w:rPr>
          <w:bCs/>
          <w:u w:val="single"/>
          <w:lang w:eastAsia="en-AU"/>
        </w:rPr>
        <w:t xml:space="preserve">Mod </w:t>
      </w:r>
      <w:r>
        <w:rPr>
          <w:bCs/>
          <w:u w:val="single"/>
          <w:lang w:eastAsia="en-AU"/>
        </w:rPr>
        <w:t>11</w:t>
      </w:r>
      <w:r w:rsidRPr="006A0514">
        <w:rPr>
          <w:b/>
          <w:bCs/>
          <w:lang w:eastAsia="en-AU"/>
        </w:rPr>
        <w:t xml:space="preserve"> </w:t>
      </w:r>
      <w:r w:rsidRPr="006A0514">
        <w:rPr>
          <w:bCs/>
          <w:lang w:eastAsia="en-AU"/>
        </w:rPr>
        <w:t xml:space="preserve">(Approved </w:t>
      </w:r>
      <w:r>
        <w:rPr>
          <w:bCs/>
          <w:lang w:eastAsia="en-AU"/>
        </w:rPr>
        <w:t>24 April 2017)</w:t>
      </w:r>
    </w:p>
    <w:p w:rsidR="004C00BC" w:rsidRDefault="004C00BC" w:rsidP="004C00BC">
      <w:r>
        <w:t>Modification to Project Approval hours of operation at Coles Supermarket.</w:t>
      </w:r>
    </w:p>
    <w:p w:rsidR="004C00BC" w:rsidRDefault="004C00BC" w:rsidP="004C00BC"/>
    <w:p w:rsidR="00102F55" w:rsidRDefault="00BA6702" w:rsidP="00610495">
      <w:pPr>
        <w:rPr>
          <w:b/>
        </w:rPr>
      </w:pPr>
      <w:r>
        <w:rPr>
          <w:b/>
        </w:rPr>
        <w:t>Previous Council Reports</w:t>
      </w:r>
    </w:p>
    <w:p w:rsidR="00BA6702" w:rsidRPr="00341011" w:rsidRDefault="00BA6702" w:rsidP="00BA6702">
      <w:r w:rsidRPr="00341011">
        <w:t>This is the third report which has been brought to Council on MOD 10 to MP06_0258 in regard to the Casuarina Town Centre (Council Reference DA10/0222.26).  The first report was from 21 April 2016 in which concerns were raised with various elements of the proposed modifications (see attachment).  Since this time the applicant has responded to Council’s concerns and has invested a significant amount of time and resources into amending the proposal to address the matters raised.</w:t>
      </w:r>
    </w:p>
    <w:p w:rsidR="00BA6702" w:rsidRPr="00341011" w:rsidRDefault="00BA6702" w:rsidP="00BA6702"/>
    <w:p w:rsidR="00BA6702" w:rsidRDefault="00BA6702" w:rsidP="00BA6702">
      <w:pPr>
        <w:rPr>
          <w:b/>
        </w:rPr>
      </w:pPr>
      <w:r w:rsidRPr="00341011">
        <w:t xml:space="preserve">The second report was brought to Council on 21 September 2017, where </w:t>
      </w:r>
      <w:r w:rsidRPr="00341011">
        <w:rPr>
          <w:rFonts w:asciiTheme="minorHAnsi" w:hAnsiTheme="minorHAnsi" w:cstheme="minorHAnsi"/>
        </w:rPr>
        <w:t xml:space="preserve">Council resolved to place a draft Plan of Management for LOT 13 DP 1014470 on public exhibition </w:t>
      </w:r>
      <w:r w:rsidRPr="00341011">
        <w:t>(see attachment)</w:t>
      </w:r>
      <w:r w:rsidRPr="00341011">
        <w:rPr>
          <w:rFonts w:asciiTheme="minorHAnsi" w:hAnsiTheme="minorHAnsi" w:cstheme="minorHAnsi"/>
        </w:rPr>
        <w:t>. This was required to enable the Casuarina Town Centre layout to be consistent with works on adjoining Council land.</w:t>
      </w:r>
    </w:p>
    <w:p w:rsidR="00BA6702" w:rsidRDefault="00BA6702" w:rsidP="00610495">
      <w:pPr>
        <w:rPr>
          <w:b/>
        </w:rPr>
      </w:pPr>
    </w:p>
    <w:p w:rsidR="00610495" w:rsidRPr="000A1241" w:rsidRDefault="00610495" w:rsidP="00610495">
      <w:pPr>
        <w:rPr>
          <w:b/>
          <w:u w:val="single"/>
        </w:rPr>
      </w:pPr>
      <w:r w:rsidRPr="000A1241">
        <w:rPr>
          <w:b/>
          <w:u w:val="single"/>
        </w:rPr>
        <w:t>Assessment of Modifications Proposed as Part of this Application</w:t>
      </w:r>
    </w:p>
    <w:p w:rsidR="00610495" w:rsidRDefault="00610495" w:rsidP="00610495"/>
    <w:p w:rsidR="00351FCF" w:rsidRPr="00351FCF" w:rsidRDefault="00351FCF" w:rsidP="00610495">
      <w:r w:rsidRPr="00351FCF">
        <w:t>NSW Planning notification documentation identifies that the following amendments are proposed through the MOD 10 and Response to Submissions;</w:t>
      </w:r>
    </w:p>
    <w:p w:rsidR="00351FCF" w:rsidRPr="00351FCF" w:rsidRDefault="00351FCF" w:rsidP="00610495"/>
    <w:p w:rsidR="00351FCF" w:rsidRPr="00351FCF" w:rsidRDefault="00351FCF" w:rsidP="00351FCF">
      <w:pPr>
        <w:spacing w:line="252" w:lineRule="auto"/>
        <w:ind w:right="-2"/>
        <w:jc w:val="both"/>
        <w:rPr>
          <w:rFonts w:ascii="Calibri" w:hAnsi="Calibri" w:cs="Calibri"/>
          <w:sz w:val="22"/>
          <w:szCs w:val="22"/>
        </w:rPr>
      </w:pPr>
      <w:r w:rsidRPr="00351FCF">
        <w:t>The application seeks approval to:</w:t>
      </w:r>
    </w:p>
    <w:p w:rsidR="00351FCF" w:rsidRPr="00351FCF" w:rsidRDefault="00351FCF" w:rsidP="00351FCF">
      <w:pPr>
        <w:numPr>
          <w:ilvl w:val="0"/>
          <w:numId w:val="30"/>
        </w:numPr>
        <w:spacing w:line="252" w:lineRule="auto"/>
        <w:ind w:right="540"/>
        <w:jc w:val="both"/>
      </w:pPr>
      <w:r w:rsidRPr="00351FCF">
        <w:t xml:space="preserve">modify the approved lot layout by replacing medium density lots with single dwellings lots. This would: </w:t>
      </w:r>
    </w:p>
    <w:p w:rsidR="00351FCF" w:rsidRPr="00351FCF" w:rsidRDefault="00351FCF" w:rsidP="00351FCF">
      <w:pPr>
        <w:numPr>
          <w:ilvl w:val="1"/>
          <w:numId w:val="30"/>
        </w:numPr>
        <w:spacing w:line="252" w:lineRule="auto"/>
        <w:ind w:right="1080"/>
        <w:jc w:val="both"/>
      </w:pPr>
      <w:r w:rsidRPr="00351FCF">
        <w:t xml:space="preserve">Increase the total number of lots on the site from 97 to 178;  </w:t>
      </w:r>
    </w:p>
    <w:p w:rsidR="00351FCF" w:rsidRPr="00351FCF" w:rsidRDefault="00351FCF" w:rsidP="00351FCF">
      <w:pPr>
        <w:numPr>
          <w:ilvl w:val="1"/>
          <w:numId w:val="30"/>
        </w:numPr>
        <w:spacing w:line="252" w:lineRule="auto"/>
        <w:ind w:right="1080"/>
        <w:jc w:val="both"/>
      </w:pPr>
      <w:r w:rsidRPr="00351FCF">
        <w:t xml:space="preserve">Reduce the total number of dwellings across the site from approximately 663 to 447 </w:t>
      </w:r>
    </w:p>
    <w:p w:rsidR="00351FCF" w:rsidRPr="00351FCF" w:rsidRDefault="00351FCF" w:rsidP="00351FCF">
      <w:pPr>
        <w:numPr>
          <w:ilvl w:val="0"/>
          <w:numId w:val="30"/>
        </w:numPr>
        <w:spacing w:line="252" w:lineRule="auto"/>
        <w:ind w:right="540"/>
        <w:jc w:val="both"/>
      </w:pPr>
      <w:r w:rsidRPr="00351FCF">
        <w:t>modify the built form controls to increase the height of buildings permitted along Grand Parade;</w:t>
      </w:r>
    </w:p>
    <w:p w:rsidR="00351FCF" w:rsidRPr="00351FCF" w:rsidRDefault="00351FCF" w:rsidP="00351FCF">
      <w:pPr>
        <w:numPr>
          <w:ilvl w:val="0"/>
          <w:numId w:val="30"/>
        </w:numPr>
        <w:spacing w:line="252" w:lineRule="auto"/>
        <w:ind w:right="540"/>
        <w:jc w:val="both"/>
      </w:pPr>
      <w:r w:rsidRPr="00351FCF">
        <w:t xml:space="preserve">delete the approved hotel use; </w:t>
      </w:r>
    </w:p>
    <w:p w:rsidR="00351FCF" w:rsidRPr="00351FCF" w:rsidRDefault="00351FCF" w:rsidP="00351FCF">
      <w:pPr>
        <w:numPr>
          <w:ilvl w:val="0"/>
          <w:numId w:val="30"/>
        </w:numPr>
        <w:spacing w:line="252" w:lineRule="auto"/>
        <w:ind w:right="540"/>
        <w:jc w:val="both"/>
      </w:pPr>
      <w:r w:rsidRPr="00351FCF">
        <w:t xml:space="preserve">revise the drainage concept to facilitate the filling of an existing drainage swale and its conversion to a ‘green buffer’; </w:t>
      </w:r>
    </w:p>
    <w:p w:rsidR="00351FCF" w:rsidRPr="00351FCF" w:rsidRDefault="00351FCF" w:rsidP="00351FCF">
      <w:pPr>
        <w:numPr>
          <w:ilvl w:val="0"/>
          <w:numId w:val="30"/>
        </w:numPr>
        <w:spacing w:line="252" w:lineRule="auto"/>
        <w:ind w:right="540"/>
        <w:jc w:val="both"/>
      </w:pPr>
      <w:r w:rsidRPr="00351FCF">
        <w:t xml:space="preserve">change the timing for the provision of additional beach access; </w:t>
      </w:r>
    </w:p>
    <w:p w:rsidR="00351FCF" w:rsidRPr="00351FCF" w:rsidRDefault="00351FCF" w:rsidP="00351FCF">
      <w:pPr>
        <w:numPr>
          <w:ilvl w:val="0"/>
          <w:numId w:val="30"/>
        </w:numPr>
        <w:spacing w:line="252" w:lineRule="auto"/>
        <w:ind w:right="540"/>
        <w:jc w:val="both"/>
      </w:pPr>
      <w:r w:rsidRPr="00351FCF">
        <w:t>change the approved staging plan; and</w:t>
      </w:r>
    </w:p>
    <w:p w:rsidR="00351FCF" w:rsidRPr="00351FCF" w:rsidRDefault="00351FCF" w:rsidP="00351FCF">
      <w:pPr>
        <w:numPr>
          <w:ilvl w:val="0"/>
          <w:numId w:val="30"/>
        </w:numPr>
        <w:spacing w:line="252" w:lineRule="auto"/>
        <w:ind w:right="540"/>
        <w:jc w:val="both"/>
      </w:pPr>
      <w:r w:rsidRPr="00351FCF">
        <w:t>administrative changes to the conditions of approval in response to the above changes.</w:t>
      </w:r>
    </w:p>
    <w:p w:rsidR="00351FCF" w:rsidRPr="00351FCF" w:rsidRDefault="00351FCF" w:rsidP="00351FCF">
      <w:pPr>
        <w:spacing w:line="252" w:lineRule="auto"/>
        <w:ind w:left="720" w:right="540"/>
        <w:jc w:val="both"/>
        <w:rPr>
          <w:rFonts w:eastAsiaTheme="minorHAnsi"/>
        </w:rPr>
      </w:pPr>
    </w:p>
    <w:p w:rsidR="00351FCF" w:rsidRPr="00351FCF" w:rsidRDefault="00351FCF" w:rsidP="00351FCF">
      <w:pPr>
        <w:spacing w:line="252" w:lineRule="auto"/>
        <w:ind w:right="540"/>
        <w:jc w:val="both"/>
      </w:pPr>
      <w:r w:rsidRPr="00351FCF">
        <w:t xml:space="preserve">Key amendments proposed in RtS include:   </w:t>
      </w:r>
    </w:p>
    <w:p w:rsidR="00351FCF" w:rsidRDefault="00351FCF" w:rsidP="00351FCF">
      <w:pPr>
        <w:numPr>
          <w:ilvl w:val="0"/>
          <w:numId w:val="31"/>
        </w:numPr>
        <w:spacing w:line="252" w:lineRule="auto"/>
        <w:ind w:right="540"/>
        <w:jc w:val="both"/>
      </w:pPr>
      <w:r w:rsidRPr="00351FCF">
        <w:lastRenderedPageBreak/>
        <w:t xml:space="preserve">relocation of the local road outside the 20 metre green buffer to the northern boundary; and </w:t>
      </w:r>
    </w:p>
    <w:p w:rsidR="00351FCF" w:rsidRDefault="00351FCF" w:rsidP="00351FCF">
      <w:pPr>
        <w:numPr>
          <w:ilvl w:val="0"/>
          <w:numId w:val="31"/>
        </w:numPr>
        <w:spacing w:line="252" w:lineRule="auto"/>
        <w:ind w:right="540"/>
        <w:jc w:val="both"/>
      </w:pPr>
      <w:r w:rsidRPr="00351FCF">
        <w:t>an increase in lots in Stage 1E from 92 lots to 93 lots. </w:t>
      </w:r>
    </w:p>
    <w:p w:rsidR="00351FCF" w:rsidRDefault="00351FCF" w:rsidP="00351FCF"/>
    <w:p w:rsidR="00E62D3D" w:rsidRDefault="00351FCF" w:rsidP="00610495">
      <w:r>
        <w:t>These proposed amendments are reviewed in detail below;</w:t>
      </w:r>
    </w:p>
    <w:p w:rsidR="002E638E" w:rsidRDefault="002E638E" w:rsidP="00610495"/>
    <w:p w:rsidR="00EC3ED5" w:rsidRPr="00351FCF" w:rsidRDefault="00351FCF" w:rsidP="00351FCF">
      <w:pPr>
        <w:spacing w:line="252" w:lineRule="auto"/>
        <w:ind w:right="540"/>
        <w:jc w:val="both"/>
        <w:rPr>
          <w:b/>
          <w:i/>
          <w:u w:val="single"/>
        </w:rPr>
      </w:pPr>
      <w:r>
        <w:rPr>
          <w:b/>
          <w:i/>
          <w:u w:val="single"/>
        </w:rPr>
        <w:t>M</w:t>
      </w:r>
      <w:r w:rsidR="00EC3ED5" w:rsidRPr="00351FCF">
        <w:rPr>
          <w:b/>
          <w:i/>
          <w:u w:val="single"/>
        </w:rPr>
        <w:t xml:space="preserve">odify the approved lot layout by replacing medium density lots with single dwellings lots. This would: </w:t>
      </w:r>
    </w:p>
    <w:p w:rsidR="00EC3ED5" w:rsidRPr="00351FCF" w:rsidRDefault="00EC3ED5" w:rsidP="00351FCF">
      <w:pPr>
        <w:numPr>
          <w:ilvl w:val="1"/>
          <w:numId w:val="30"/>
        </w:numPr>
        <w:tabs>
          <w:tab w:val="clear" w:pos="1440"/>
          <w:tab w:val="num" w:pos="720"/>
        </w:tabs>
        <w:spacing w:line="252" w:lineRule="auto"/>
        <w:ind w:left="720" w:right="1080"/>
        <w:jc w:val="both"/>
        <w:rPr>
          <w:b/>
          <w:i/>
          <w:u w:val="single"/>
        </w:rPr>
      </w:pPr>
      <w:r w:rsidRPr="00351FCF">
        <w:rPr>
          <w:b/>
          <w:i/>
          <w:u w:val="single"/>
        </w:rPr>
        <w:t xml:space="preserve">Increase the total number of lots on the site from 97 to 178;  </w:t>
      </w:r>
    </w:p>
    <w:p w:rsidR="00EC3ED5" w:rsidRPr="00351FCF" w:rsidRDefault="00EC3ED5" w:rsidP="00351FCF">
      <w:pPr>
        <w:numPr>
          <w:ilvl w:val="1"/>
          <w:numId w:val="30"/>
        </w:numPr>
        <w:spacing w:line="252" w:lineRule="auto"/>
        <w:ind w:left="720" w:right="1080"/>
        <w:jc w:val="both"/>
      </w:pPr>
      <w:r w:rsidRPr="00351FCF">
        <w:rPr>
          <w:b/>
          <w:i/>
          <w:u w:val="single"/>
        </w:rPr>
        <w:t>Reduce the total number of dwellings across the site from approximately 663 to 447</w:t>
      </w:r>
      <w:r w:rsidRPr="00351FCF">
        <w:t xml:space="preserve"> </w:t>
      </w:r>
    </w:p>
    <w:p w:rsidR="00610495" w:rsidRDefault="00610495" w:rsidP="00610495"/>
    <w:p w:rsidR="00351FCF" w:rsidRDefault="00351FCF" w:rsidP="00610495">
      <w:pPr>
        <w:rPr>
          <w:color w:val="2F2F6B" w:themeColor="accent6" w:themeShade="80"/>
        </w:rPr>
      </w:pPr>
    </w:p>
    <w:p w:rsidR="00610495" w:rsidRPr="003076AB" w:rsidRDefault="00610495" w:rsidP="00610495">
      <w:r w:rsidRPr="003076AB">
        <w:t>The revised subdivision layout is demonstrated in Figures 6-8 below and is reviewed with respect to earthworks, road layout</w:t>
      </w:r>
      <w:r w:rsidR="003076AB">
        <w:t>, public open space</w:t>
      </w:r>
      <w:r w:rsidRPr="003076AB">
        <w:t xml:space="preserve"> and density;</w:t>
      </w:r>
    </w:p>
    <w:p w:rsidR="00610495" w:rsidRPr="003076AB" w:rsidRDefault="00610495" w:rsidP="00610495"/>
    <w:p w:rsidR="00610495" w:rsidRPr="003076AB" w:rsidRDefault="003076AB" w:rsidP="00610495">
      <w:pPr>
        <w:jc w:val="center"/>
        <w:rPr>
          <w:i/>
        </w:rPr>
      </w:pPr>
      <w:r w:rsidRPr="003076AB">
        <w:rPr>
          <w:i/>
          <w:noProof/>
          <w:lang w:eastAsia="en-AU"/>
        </w:rPr>
        <w:drawing>
          <wp:inline distT="0" distB="0" distL="0" distR="0" wp14:anchorId="3EF57959" wp14:editId="6A3D307C">
            <wp:extent cx="3920247" cy="4674323"/>
            <wp:effectExtent l="0" t="0" r="444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22550" cy="4677069"/>
                    </a:xfrm>
                    <a:prstGeom prst="rect">
                      <a:avLst/>
                    </a:prstGeom>
                    <a:noFill/>
                    <a:ln>
                      <a:noFill/>
                    </a:ln>
                  </pic:spPr>
                </pic:pic>
              </a:graphicData>
            </a:graphic>
          </wp:inline>
        </w:drawing>
      </w:r>
    </w:p>
    <w:p w:rsidR="00610495" w:rsidRPr="003076AB" w:rsidRDefault="00610495" w:rsidP="00610495">
      <w:pPr>
        <w:tabs>
          <w:tab w:val="left" w:pos="5103"/>
          <w:tab w:val="left" w:pos="5670"/>
          <w:tab w:val="left" w:pos="6237"/>
        </w:tabs>
        <w:jc w:val="center"/>
        <w:rPr>
          <w:b/>
        </w:rPr>
      </w:pPr>
      <w:r w:rsidRPr="003076AB">
        <w:rPr>
          <w:b/>
          <w:sz w:val="20"/>
        </w:rPr>
        <w:t>Figure 6: Proposed Allotment Layout</w:t>
      </w:r>
    </w:p>
    <w:p w:rsidR="00610495" w:rsidRPr="003076AB" w:rsidRDefault="00610495" w:rsidP="00610495">
      <w:pPr>
        <w:rPr>
          <w:i/>
        </w:rPr>
      </w:pPr>
    </w:p>
    <w:p w:rsidR="003076AB" w:rsidRPr="003076AB" w:rsidRDefault="003076AB" w:rsidP="003076AB">
      <w:pPr>
        <w:jc w:val="center"/>
        <w:rPr>
          <w:i/>
          <w:noProof/>
          <w:lang w:eastAsia="en-AU"/>
        </w:rPr>
      </w:pPr>
      <w:r w:rsidRPr="003076AB">
        <w:rPr>
          <w:i/>
          <w:noProof/>
          <w:lang w:eastAsia="en-AU"/>
        </w:rPr>
        <w:lastRenderedPageBreak/>
        <w:drawing>
          <wp:inline distT="0" distB="0" distL="0" distR="0" wp14:anchorId="3318C0DE" wp14:editId="57ABCD67">
            <wp:extent cx="5723890" cy="3384550"/>
            <wp:effectExtent l="0" t="0" r="0" b="635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3890" cy="3384550"/>
                    </a:xfrm>
                    <a:prstGeom prst="rect">
                      <a:avLst/>
                    </a:prstGeom>
                    <a:noFill/>
                    <a:ln>
                      <a:noFill/>
                    </a:ln>
                  </pic:spPr>
                </pic:pic>
              </a:graphicData>
            </a:graphic>
          </wp:inline>
        </w:drawing>
      </w:r>
    </w:p>
    <w:p w:rsidR="00610495" w:rsidRPr="003076AB" w:rsidRDefault="00610495" w:rsidP="00610495">
      <w:pPr>
        <w:tabs>
          <w:tab w:val="left" w:pos="5103"/>
          <w:tab w:val="left" w:pos="5670"/>
          <w:tab w:val="left" w:pos="6237"/>
        </w:tabs>
        <w:jc w:val="center"/>
        <w:rPr>
          <w:b/>
        </w:rPr>
      </w:pPr>
      <w:r w:rsidRPr="003076AB">
        <w:rPr>
          <w:b/>
          <w:sz w:val="20"/>
        </w:rPr>
        <w:t>Figure 7: Proposed Layout (North)</w:t>
      </w:r>
    </w:p>
    <w:p w:rsidR="00610495" w:rsidRPr="003076AB" w:rsidRDefault="00610495" w:rsidP="00610495">
      <w:pPr>
        <w:rPr>
          <w:i/>
        </w:rPr>
      </w:pPr>
    </w:p>
    <w:p w:rsidR="003076AB" w:rsidRPr="003076AB" w:rsidRDefault="003076AB" w:rsidP="00610495">
      <w:pPr>
        <w:jc w:val="center"/>
        <w:rPr>
          <w:i/>
        </w:rPr>
      </w:pPr>
      <w:r w:rsidRPr="003076AB">
        <w:rPr>
          <w:i/>
          <w:noProof/>
          <w:lang w:eastAsia="en-AU"/>
        </w:rPr>
        <w:drawing>
          <wp:inline distT="0" distB="0" distL="0" distR="0" wp14:anchorId="04DCD591" wp14:editId="26F9C21E">
            <wp:extent cx="5384344" cy="3842425"/>
            <wp:effectExtent l="0" t="0" r="6985" b="571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95257" cy="3850213"/>
                    </a:xfrm>
                    <a:prstGeom prst="rect">
                      <a:avLst/>
                    </a:prstGeom>
                    <a:noFill/>
                    <a:ln>
                      <a:noFill/>
                    </a:ln>
                  </pic:spPr>
                </pic:pic>
              </a:graphicData>
            </a:graphic>
          </wp:inline>
        </w:drawing>
      </w:r>
    </w:p>
    <w:p w:rsidR="00610495" w:rsidRPr="003076AB" w:rsidRDefault="00610495" w:rsidP="00610495">
      <w:pPr>
        <w:tabs>
          <w:tab w:val="left" w:pos="5103"/>
          <w:tab w:val="left" w:pos="5670"/>
          <w:tab w:val="left" w:pos="6237"/>
        </w:tabs>
        <w:jc w:val="center"/>
        <w:rPr>
          <w:b/>
        </w:rPr>
      </w:pPr>
      <w:r w:rsidRPr="003076AB">
        <w:rPr>
          <w:b/>
          <w:sz w:val="20"/>
        </w:rPr>
        <w:t>Figure 8: Proposed Layout (South)</w:t>
      </w:r>
    </w:p>
    <w:p w:rsidR="00610495" w:rsidRPr="0006374A" w:rsidRDefault="00610495" w:rsidP="00610495"/>
    <w:p w:rsidR="00610495" w:rsidRPr="0006374A" w:rsidRDefault="00610495" w:rsidP="00610495">
      <w:pPr>
        <w:rPr>
          <w:i/>
          <w:u w:val="single"/>
        </w:rPr>
      </w:pPr>
      <w:r w:rsidRPr="0006374A">
        <w:rPr>
          <w:i/>
          <w:u w:val="single"/>
        </w:rPr>
        <w:t>Earthworks/Retaining walls</w:t>
      </w:r>
    </w:p>
    <w:p w:rsidR="00725AF0" w:rsidRPr="0006374A" w:rsidRDefault="00610495" w:rsidP="00610495">
      <w:r w:rsidRPr="0006374A">
        <w:t>Concerns</w:t>
      </w:r>
      <w:r w:rsidR="00725AF0" w:rsidRPr="0006374A">
        <w:t xml:space="preserve"> were previously </w:t>
      </w:r>
      <w:r w:rsidRPr="0006374A">
        <w:t>raised with respect to the extent</w:t>
      </w:r>
      <w:r w:rsidR="0006374A" w:rsidRPr="0006374A">
        <w:t xml:space="preserve"> (height)</w:t>
      </w:r>
      <w:r w:rsidRPr="0006374A">
        <w:t xml:space="preserve"> and number of retaining walls proposed under the </w:t>
      </w:r>
      <w:r w:rsidR="00725AF0" w:rsidRPr="0006374A">
        <w:t xml:space="preserve">previous MOD 10 </w:t>
      </w:r>
      <w:r w:rsidRPr="0006374A">
        <w:t xml:space="preserve">layout. </w:t>
      </w:r>
      <w:r w:rsidR="00725AF0" w:rsidRPr="0006374A">
        <w:t xml:space="preserve">In particular it was noted that retaining walls up to 4m high were proposed. Concerns were was also raised with respect to the use of retaining walls on </w:t>
      </w:r>
      <w:r w:rsidR="0006374A" w:rsidRPr="0006374A">
        <w:t xml:space="preserve">public road reserves/open space </w:t>
      </w:r>
      <w:r w:rsidR="0006374A" w:rsidRPr="0006374A">
        <w:lastRenderedPageBreak/>
        <w:t>foreshore area on the eastern boundary. These walls would attract increased Council maintenance issues such as graffiti, re-painting, weed control etc.  compared to a gradient batter that is grassed.</w:t>
      </w:r>
    </w:p>
    <w:p w:rsidR="00725AF0" w:rsidRPr="0006374A" w:rsidRDefault="00725AF0" w:rsidP="00610495"/>
    <w:p w:rsidR="0006374A" w:rsidRPr="0006374A" w:rsidRDefault="0006374A" w:rsidP="00610495">
      <w:r w:rsidRPr="0006374A">
        <w:t>The proponent has revised the subdivision design, limiting the overall extent of retaining walls to three over the site and limiting these in height to a maximum of 1m.</w:t>
      </w:r>
    </w:p>
    <w:p w:rsidR="00725AF0" w:rsidRPr="0006374A" w:rsidRDefault="0006374A" w:rsidP="00610495">
      <w:r w:rsidRPr="0006374A">
        <w:t xml:space="preserve"> </w:t>
      </w:r>
    </w:p>
    <w:p w:rsidR="00610495" w:rsidRPr="0006374A" w:rsidRDefault="00610495" w:rsidP="00610495">
      <w:r w:rsidRPr="0006374A">
        <w:t>Council’s Development Engineering Unit has advised the following with respect to this;</w:t>
      </w:r>
    </w:p>
    <w:p w:rsidR="00725AF0" w:rsidRPr="0006374A" w:rsidRDefault="00725AF0" w:rsidP="00610495"/>
    <w:p w:rsidR="00725AF0" w:rsidRPr="0006374A" w:rsidRDefault="0006374A" w:rsidP="00725AF0">
      <w:pPr>
        <w:ind w:left="567"/>
        <w:rPr>
          <w:i/>
        </w:rPr>
      </w:pPr>
      <w:r w:rsidRPr="0006374A">
        <w:rPr>
          <w:i/>
        </w:rPr>
        <w:t>‘</w:t>
      </w:r>
      <w:r w:rsidR="00725AF0" w:rsidRPr="0006374A">
        <w:rPr>
          <w:i/>
        </w:rPr>
        <w:t>An updated earthworks / land forming engineering plan has now been provided by BG&amp;G which ultimately reduces the number of retaining walls across the site to a total of three (3). All the proposed retaining walls are proposed to be a maximum of 1m in height; hence the previous retaining wall of 4m has been removed. All proposed retaining walls are now within private property and comply with Tweed Shire Councils Development Design Specification – D6 Site Regrading (TSC-D6) specifies that the maximum permissible combined of retaining walls or batters in residential subdivisions. The proposed earthworks and re</w:t>
      </w:r>
      <w:r w:rsidRPr="0006374A">
        <w:rPr>
          <w:i/>
        </w:rPr>
        <w:t>taining walls are now accepted.’</w:t>
      </w:r>
    </w:p>
    <w:p w:rsidR="0006374A" w:rsidRPr="0006374A" w:rsidRDefault="0006374A" w:rsidP="0006374A"/>
    <w:p w:rsidR="0006374A" w:rsidRPr="0006374A" w:rsidRDefault="0006374A" w:rsidP="0006374A">
      <w:r w:rsidRPr="0006374A">
        <w:rPr>
          <w:noProof/>
          <w:lang w:eastAsia="en-AU"/>
        </w:rPr>
        <w:drawing>
          <wp:inline distT="0" distB="0" distL="0" distR="0" wp14:anchorId="67936E62" wp14:editId="1DFE988B">
            <wp:extent cx="5735955" cy="399034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5955" cy="3990340"/>
                    </a:xfrm>
                    <a:prstGeom prst="rect">
                      <a:avLst/>
                    </a:prstGeom>
                    <a:noFill/>
                    <a:ln>
                      <a:noFill/>
                    </a:ln>
                  </pic:spPr>
                </pic:pic>
              </a:graphicData>
            </a:graphic>
          </wp:inline>
        </w:drawing>
      </w:r>
    </w:p>
    <w:p w:rsidR="0006374A" w:rsidRPr="001E3192" w:rsidRDefault="0006374A" w:rsidP="0006374A">
      <w:pPr>
        <w:tabs>
          <w:tab w:val="left" w:pos="5103"/>
          <w:tab w:val="left" w:pos="5670"/>
          <w:tab w:val="left" w:pos="6237"/>
        </w:tabs>
        <w:jc w:val="center"/>
        <w:rPr>
          <w:b/>
          <w:sz w:val="20"/>
        </w:rPr>
      </w:pPr>
      <w:r w:rsidRPr="0006374A">
        <w:rPr>
          <w:b/>
          <w:sz w:val="20"/>
        </w:rPr>
        <w:t>Figure 9: Bu</w:t>
      </w:r>
      <w:r w:rsidRPr="001E3192">
        <w:rPr>
          <w:b/>
          <w:sz w:val="20"/>
        </w:rPr>
        <w:t xml:space="preserve">lk Earthworks Plan </w:t>
      </w:r>
    </w:p>
    <w:p w:rsidR="0006374A" w:rsidRPr="001E3192" w:rsidRDefault="0006374A" w:rsidP="00610495"/>
    <w:p w:rsidR="001E3192" w:rsidRPr="001E3192" w:rsidRDefault="00610495" w:rsidP="0006374A">
      <w:r w:rsidRPr="001E3192">
        <w:t xml:space="preserve">Further to this, </w:t>
      </w:r>
      <w:r w:rsidR="0006374A" w:rsidRPr="001E3192">
        <w:t xml:space="preserve">it is noted that there was previous concerns raised in relation to </w:t>
      </w:r>
      <w:r w:rsidR="001E3192" w:rsidRPr="001E3192">
        <w:t>earthworks proposed to the north east of the site, including on Council land in this area, with retaining walls of approximately 2.5m anticipated by Council staff. This raised issue with the maintenance of this area (including access) and also the useability of any of the space.</w:t>
      </w:r>
    </w:p>
    <w:p w:rsidR="0006374A" w:rsidRPr="001E3192" w:rsidRDefault="001E3192" w:rsidP="0006374A">
      <w:r w:rsidRPr="001E3192">
        <w:lastRenderedPageBreak/>
        <w:t xml:space="preserve">The amendments to the extent of earthworks proposed has reduced the level changes to this area generally. In reviewing this </w:t>
      </w:r>
      <w:r w:rsidR="00610495" w:rsidRPr="001E3192">
        <w:t xml:space="preserve">Council’s </w:t>
      </w:r>
      <w:r w:rsidR="0006374A" w:rsidRPr="001E3192">
        <w:t>Manager Roads &amp; Stormwater</w:t>
      </w:r>
      <w:r w:rsidR="00610495" w:rsidRPr="001E3192">
        <w:t xml:space="preserve"> has advised that “</w:t>
      </w:r>
      <w:r w:rsidRPr="001E3192">
        <w:t>…</w:t>
      </w:r>
      <w:r w:rsidR="0006374A" w:rsidRPr="001E3192">
        <w:rPr>
          <w:i/>
        </w:rPr>
        <w:t>significant stormwater drainage infrastructure was proposed within the coastal reserve along the eastern frontage of the town centre site. Initially this consumed a large area, required levels that resulted in unsuitably high retaining structures on public land, and was judged by Council officers to be a poor outcome for the public reserve. Through a process of meetings and emailed correspondence, the applicant’s engineering consultants modified the landform and stormwater interface to produce a basin design that is now suitable to Council officers and accepted by the developer.</w:t>
      </w:r>
      <w:r w:rsidRPr="001E3192">
        <w:rPr>
          <w:i/>
        </w:rPr>
        <w:t>’</w:t>
      </w:r>
    </w:p>
    <w:p w:rsidR="0006374A" w:rsidRPr="001E3192" w:rsidRDefault="0006374A" w:rsidP="0006374A"/>
    <w:p w:rsidR="001E3192" w:rsidRPr="001E3192" w:rsidRDefault="001E3192" w:rsidP="0006374A">
      <w:r w:rsidRPr="001E3192">
        <w:t>A typical cross section of levels in this area is provided below;</w:t>
      </w:r>
    </w:p>
    <w:p w:rsidR="0006374A" w:rsidRPr="001E3192" w:rsidRDefault="0006374A" w:rsidP="001E3192">
      <w:pPr>
        <w:jc w:val="center"/>
        <w:rPr>
          <w:b/>
        </w:rPr>
      </w:pPr>
      <w:r w:rsidRPr="001E3192">
        <w:rPr>
          <w:b/>
          <w:noProof/>
          <w:lang w:eastAsia="en-AU"/>
        </w:rPr>
        <w:drawing>
          <wp:inline distT="0" distB="0" distL="0" distR="0" wp14:anchorId="67AE1651" wp14:editId="1C9B0203">
            <wp:extent cx="5729605" cy="1721485"/>
            <wp:effectExtent l="0" t="0" r="444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9605" cy="1721485"/>
                    </a:xfrm>
                    <a:prstGeom prst="rect">
                      <a:avLst/>
                    </a:prstGeom>
                    <a:noFill/>
                    <a:ln>
                      <a:noFill/>
                    </a:ln>
                  </pic:spPr>
                </pic:pic>
              </a:graphicData>
            </a:graphic>
          </wp:inline>
        </w:drawing>
      </w:r>
    </w:p>
    <w:p w:rsidR="001E3192" w:rsidRPr="001E3192" w:rsidRDefault="001E3192" w:rsidP="001E3192">
      <w:pPr>
        <w:tabs>
          <w:tab w:val="left" w:pos="5103"/>
          <w:tab w:val="left" w:pos="5670"/>
          <w:tab w:val="left" w:pos="6237"/>
        </w:tabs>
        <w:jc w:val="center"/>
        <w:rPr>
          <w:b/>
          <w:sz w:val="20"/>
        </w:rPr>
      </w:pPr>
      <w:r w:rsidRPr="00033F4C">
        <w:rPr>
          <w:b/>
          <w:sz w:val="20"/>
        </w:rPr>
        <w:t xml:space="preserve">Figure </w:t>
      </w:r>
      <w:r w:rsidR="00033F4C" w:rsidRPr="00033F4C">
        <w:rPr>
          <w:b/>
          <w:sz w:val="20"/>
        </w:rPr>
        <w:t>10</w:t>
      </w:r>
      <w:r w:rsidRPr="00033F4C">
        <w:rPr>
          <w:b/>
          <w:sz w:val="20"/>
        </w:rPr>
        <w:t>:</w:t>
      </w:r>
      <w:r w:rsidRPr="001E3192">
        <w:rPr>
          <w:b/>
          <w:sz w:val="20"/>
        </w:rPr>
        <w:t xml:space="preserve"> </w:t>
      </w:r>
      <w:r w:rsidR="00033F4C">
        <w:rPr>
          <w:b/>
          <w:sz w:val="20"/>
        </w:rPr>
        <w:t>Stormwater Cross-Section</w:t>
      </w:r>
      <w:r w:rsidRPr="001E3192">
        <w:rPr>
          <w:b/>
          <w:sz w:val="20"/>
        </w:rPr>
        <w:t xml:space="preserve"> Plan </w:t>
      </w:r>
    </w:p>
    <w:p w:rsidR="0006374A" w:rsidRPr="001E3192" w:rsidRDefault="0006374A" w:rsidP="0006374A">
      <w:pPr>
        <w:rPr>
          <w:b/>
        </w:rPr>
      </w:pPr>
    </w:p>
    <w:p w:rsidR="0006374A" w:rsidRPr="001E3192" w:rsidRDefault="0006374A" w:rsidP="0006374A">
      <w:pPr>
        <w:rPr>
          <w:b/>
        </w:rPr>
      </w:pPr>
    </w:p>
    <w:p w:rsidR="0006374A" w:rsidRPr="001E3192" w:rsidRDefault="0006374A" w:rsidP="001E3192">
      <w:pPr>
        <w:jc w:val="center"/>
        <w:rPr>
          <w:b/>
        </w:rPr>
      </w:pPr>
      <w:r w:rsidRPr="001E3192">
        <w:rPr>
          <w:b/>
          <w:noProof/>
          <w:lang w:eastAsia="en-AU"/>
        </w:rPr>
        <w:drawing>
          <wp:inline distT="0" distB="0" distL="0" distR="0" wp14:anchorId="44DC53DE" wp14:editId="538A4BDB">
            <wp:extent cx="4086975" cy="2665379"/>
            <wp:effectExtent l="0" t="0" r="8890" b="190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084579" cy="2663817"/>
                    </a:xfrm>
                    <a:prstGeom prst="rect">
                      <a:avLst/>
                    </a:prstGeom>
                    <a:noFill/>
                    <a:ln>
                      <a:noFill/>
                    </a:ln>
                  </pic:spPr>
                </pic:pic>
              </a:graphicData>
            </a:graphic>
          </wp:inline>
        </w:drawing>
      </w:r>
    </w:p>
    <w:p w:rsidR="001E3192" w:rsidRPr="001E3192" w:rsidRDefault="00033F4C" w:rsidP="001E3192">
      <w:pPr>
        <w:tabs>
          <w:tab w:val="left" w:pos="5103"/>
          <w:tab w:val="left" w:pos="5670"/>
          <w:tab w:val="left" w:pos="6237"/>
        </w:tabs>
        <w:jc w:val="center"/>
        <w:rPr>
          <w:b/>
          <w:sz w:val="20"/>
        </w:rPr>
      </w:pPr>
      <w:r w:rsidRPr="00033F4C">
        <w:rPr>
          <w:b/>
          <w:sz w:val="20"/>
        </w:rPr>
        <w:t>Figure 10</w:t>
      </w:r>
      <w:r>
        <w:rPr>
          <w:b/>
          <w:sz w:val="20"/>
        </w:rPr>
        <w:t>A</w:t>
      </w:r>
      <w:r w:rsidRPr="00033F4C">
        <w:rPr>
          <w:b/>
          <w:sz w:val="20"/>
        </w:rPr>
        <w:t>:</w:t>
      </w:r>
      <w:r w:rsidRPr="001E3192">
        <w:rPr>
          <w:b/>
          <w:sz w:val="20"/>
        </w:rPr>
        <w:t xml:space="preserve"> </w:t>
      </w:r>
      <w:r>
        <w:rPr>
          <w:b/>
          <w:sz w:val="20"/>
        </w:rPr>
        <w:t>Stormwater Cross-Section</w:t>
      </w:r>
      <w:r w:rsidRPr="001E3192">
        <w:rPr>
          <w:b/>
          <w:sz w:val="20"/>
        </w:rPr>
        <w:t xml:space="preserve"> Plan </w:t>
      </w:r>
    </w:p>
    <w:p w:rsidR="0006374A" w:rsidRPr="001E3192" w:rsidRDefault="0006374A" w:rsidP="0006374A">
      <w:pPr>
        <w:rPr>
          <w:b/>
        </w:rPr>
      </w:pPr>
    </w:p>
    <w:p w:rsidR="0006374A" w:rsidRPr="006D751F" w:rsidRDefault="001E3192" w:rsidP="0006374A">
      <w:r w:rsidRPr="001E3192">
        <w:t>Eart</w:t>
      </w:r>
      <w:r w:rsidRPr="006D751F">
        <w:t>hworks now proposed are considered to be acceptable by Council officer</w:t>
      </w:r>
      <w:r w:rsidR="006E2D58" w:rsidRPr="006D751F">
        <w:t>s</w:t>
      </w:r>
      <w:r w:rsidR="0006374A" w:rsidRPr="006D751F">
        <w:t>.</w:t>
      </w:r>
    </w:p>
    <w:p w:rsidR="0006374A" w:rsidRPr="006D751F" w:rsidRDefault="0006374A" w:rsidP="00610495"/>
    <w:p w:rsidR="00610495" w:rsidRPr="006D751F" w:rsidRDefault="00610495" w:rsidP="00610495">
      <w:pPr>
        <w:rPr>
          <w:u w:val="single"/>
        </w:rPr>
      </w:pPr>
      <w:r w:rsidRPr="006D751F">
        <w:rPr>
          <w:i/>
          <w:u w:val="single"/>
        </w:rPr>
        <w:t>Road Layout</w:t>
      </w:r>
    </w:p>
    <w:p w:rsidR="001E3192" w:rsidRPr="006D751F" w:rsidRDefault="001E3192" w:rsidP="00610495"/>
    <w:p w:rsidR="00C12C93" w:rsidRPr="006D751F" w:rsidRDefault="00C12C93" w:rsidP="00C12C93">
      <w:r w:rsidRPr="006D751F">
        <w:t>The proposed modification incorporates a new road layout to service the proposed allotments. This has been reviewed by Council’s Traffic Engineer and Development Engineering Unit who have provided comment with respect to traffic and public car parking. It is noted that roundabouts have now been provided to</w:t>
      </w:r>
      <w:r w:rsidR="006D751F" w:rsidRPr="006D751F">
        <w:t xml:space="preserve"> the</w:t>
      </w:r>
      <w:r w:rsidRPr="006D751F">
        <w:t xml:space="preserve"> Grand Parade </w:t>
      </w:r>
      <w:r w:rsidRPr="006D751F">
        <w:lastRenderedPageBreak/>
        <w:t>in</w:t>
      </w:r>
      <w:r w:rsidR="006D751F" w:rsidRPr="006D751F">
        <w:t>tersections</w:t>
      </w:r>
      <w:r w:rsidR="00890456">
        <w:t xml:space="preserve"> and public parking modified</w:t>
      </w:r>
      <w:r w:rsidR="006D751F" w:rsidRPr="006D751F">
        <w:t xml:space="preserve"> in</w:t>
      </w:r>
      <w:r w:rsidRPr="006D751F">
        <w:t xml:space="preserve"> response to Council’s Traffic Engineer comments</w:t>
      </w:r>
      <w:r w:rsidR="006D751F" w:rsidRPr="006D751F">
        <w:t xml:space="preserve"> on MOD 10</w:t>
      </w:r>
      <w:r w:rsidRPr="006D751F">
        <w:t>.</w:t>
      </w:r>
    </w:p>
    <w:p w:rsidR="00C12C93" w:rsidRDefault="00C12C93" w:rsidP="00610495">
      <w:pPr>
        <w:rPr>
          <w:color w:val="2F2F6B" w:themeColor="accent6" w:themeShade="80"/>
        </w:rPr>
      </w:pPr>
    </w:p>
    <w:p w:rsidR="00890456" w:rsidRPr="00081A3A" w:rsidRDefault="00890456" w:rsidP="00890456">
      <w:r w:rsidRPr="00AF66BF">
        <w:t xml:space="preserve">Further </w:t>
      </w:r>
      <w:r w:rsidRPr="00081A3A">
        <w:t>comment has been provided with respect to road network and parking by Council’s Traffic Engineer and Development Engineering Unit as per the below, which is requested to be taken into account by NSW Planning;</w:t>
      </w:r>
    </w:p>
    <w:p w:rsidR="00890456" w:rsidRPr="00081A3A" w:rsidRDefault="00890456" w:rsidP="00610495"/>
    <w:p w:rsidR="00890456" w:rsidRPr="00081A3A" w:rsidRDefault="00890456" w:rsidP="00610495">
      <w:r w:rsidRPr="00081A3A">
        <w:t>Traffic Engineer Comments</w:t>
      </w:r>
    </w:p>
    <w:p w:rsidR="00D8422D" w:rsidRPr="00081A3A" w:rsidRDefault="00890456" w:rsidP="00D8422D">
      <w:r w:rsidRPr="00081A3A">
        <w:t>G</w:t>
      </w:r>
      <w:r w:rsidR="00D8422D" w:rsidRPr="00081A3A">
        <w:t>enerally the traffic facilities are considered appropriate.</w:t>
      </w:r>
      <w:r w:rsidRPr="00081A3A">
        <w:t xml:space="preserve"> </w:t>
      </w:r>
      <w:r w:rsidR="00D8422D" w:rsidRPr="00081A3A">
        <w:t>It is noted that the stub road connection between Grand Parade and Road A</w:t>
      </w:r>
      <w:r w:rsidRPr="00081A3A">
        <w:t xml:space="preserve"> (See figure 11 below)</w:t>
      </w:r>
      <w:r w:rsidR="00D8422D" w:rsidRPr="00081A3A">
        <w:t xml:space="preserve"> may result in undesirable movements such as u-turns on Grand Parade to access angled parking bays.  Given the close proximity of roundabouts on Grand Parade it is recommended that the centre median be extended on Grand Parade thereby limiting access to the connection to left in and left out only.</w:t>
      </w:r>
    </w:p>
    <w:p w:rsidR="00D8422D" w:rsidRPr="00081A3A" w:rsidRDefault="00D8422D" w:rsidP="00D8422D"/>
    <w:p w:rsidR="00D8422D" w:rsidRPr="00081A3A" w:rsidRDefault="00890456" w:rsidP="00890456">
      <w:pPr>
        <w:jc w:val="center"/>
        <w:rPr>
          <w:highlight w:val="yellow"/>
        </w:rPr>
      </w:pPr>
      <w:r w:rsidRPr="00081A3A">
        <w:rPr>
          <w:noProof/>
          <w:lang w:eastAsia="en-AU"/>
        </w:rPr>
        <w:drawing>
          <wp:inline distT="0" distB="0" distL="0" distR="0" wp14:anchorId="239B5145" wp14:editId="188980E9">
            <wp:extent cx="3742228" cy="3084796"/>
            <wp:effectExtent l="0" t="0" r="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739210" cy="3082308"/>
                    </a:xfrm>
                    <a:prstGeom prst="rect">
                      <a:avLst/>
                    </a:prstGeom>
                    <a:noFill/>
                    <a:ln>
                      <a:noFill/>
                    </a:ln>
                  </pic:spPr>
                </pic:pic>
              </a:graphicData>
            </a:graphic>
          </wp:inline>
        </w:drawing>
      </w:r>
    </w:p>
    <w:p w:rsidR="00890456" w:rsidRPr="00081A3A" w:rsidRDefault="00890456" w:rsidP="00890456">
      <w:pPr>
        <w:tabs>
          <w:tab w:val="left" w:pos="5103"/>
          <w:tab w:val="left" w:pos="5670"/>
          <w:tab w:val="left" w:pos="6237"/>
        </w:tabs>
        <w:jc w:val="center"/>
        <w:rPr>
          <w:b/>
          <w:sz w:val="20"/>
        </w:rPr>
      </w:pPr>
      <w:r w:rsidRPr="00081A3A">
        <w:rPr>
          <w:b/>
          <w:sz w:val="20"/>
        </w:rPr>
        <w:t xml:space="preserve">Figure 11: Road connection between Road A &amp; Grand Parade </w:t>
      </w:r>
    </w:p>
    <w:p w:rsidR="001E3192" w:rsidRPr="00081A3A" w:rsidRDefault="001E3192" w:rsidP="00610495"/>
    <w:p w:rsidR="00890456" w:rsidRPr="00081A3A" w:rsidRDefault="00890456" w:rsidP="00610495">
      <w:pPr>
        <w:rPr>
          <w:bCs/>
        </w:rPr>
      </w:pPr>
      <w:r w:rsidRPr="00081A3A">
        <w:rPr>
          <w:bCs/>
        </w:rPr>
        <w:t>Development Engineering Unit</w:t>
      </w:r>
    </w:p>
    <w:p w:rsidR="00AF66BF" w:rsidRPr="00081A3A" w:rsidRDefault="00890456" w:rsidP="00081A3A">
      <w:r w:rsidRPr="00081A3A">
        <w:rPr>
          <w:bCs/>
        </w:rPr>
        <w:t>Council previously requested further information with respect to the</w:t>
      </w:r>
      <w:r w:rsidR="00081A3A" w:rsidRPr="00081A3A">
        <w:rPr>
          <w:bCs/>
        </w:rPr>
        <w:t xml:space="preserve"> four</w:t>
      </w:r>
      <w:r w:rsidRPr="00081A3A">
        <w:rPr>
          <w:bCs/>
        </w:rPr>
        <w:t xml:space="preserve"> </w:t>
      </w:r>
      <w:r w:rsidRPr="00081A3A">
        <w:t>rear access laneways (which now serve lots 72 &amp; 77– 83, 36-47</w:t>
      </w:r>
      <w:r w:rsidR="00081A3A" w:rsidRPr="00081A3A">
        <w:t xml:space="preserve"> and 52, 53 &amp; 76). Specifically it was queried whether these would</w:t>
      </w:r>
      <w:r w:rsidR="00AF66BF" w:rsidRPr="00081A3A">
        <w:t xml:space="preserve"> be privately owned with easements or public roads conforming to Council standards.</w:t>
      </w:r>
      <w:r w:rsidR="00081A3A" w:rsidRPr="00081A3A">
        <w:t xml:space="preserve"> From the updated plans submitted, it appears that these are to be dedicated to Council as road reserve however for Council to accept these they would need to be </w:t>
      </w:r>
      <w:r w:rsidR="00AF66BF" w:rsidRPr="00081A3A">
        <w:t>demonstrate</w:t>
      </w:r>
      <w:r w:rsidR="00081A3A" w:rsidRPr="00081A3A">
        <w:t>d</w:t>
      </w:r>
      <w:r w:rsidR="00AF66BF" w:rsidRPr="00081A3A">
        <w:t xml:space="preserve"> to Council standards. </w:t>
      </w:r>
    </w:p>
    <w:p w:rsidR="00AF66BF" w:rsidRPr="00081A3A" w:rsidRDefault="00AF66BF" w:rsidP="00AF66BF">
      <w:pPr>
        <w:pStyle w:val="ListParagraph"/>
        <w:ind w:left="360"/>
      </w:pPr>
    </w:p>
    <w:p w:rsidR="00081A3A" w:rsidRPr="00081A3A" w:rsidRDefault="00081A3A" w:rsidP="00081A3A">
      <w:pPr>
        <w:pStyle w:val="ListParagraph"/>
        <w:ind w:left="0"/>
      </w:pPr>
      <w:r w:rsidRPr="00081A3A">
        <w:t>Furthermore the access driveway servicing proposed Lots 14, 15 and 16 is indicated as being public road reserve. Again, this is required to be demonstrated to be to Council standards if it is to be dedicated as road reserve, otherwise the application should be modified to demonstrate this as privately owned right of carriageway etc.</w:t>
      </w:r>
    </w:p>
    <w:p w:rsidR="00341011" w:rsidRDefault="00341011" w:rsidP="00610495">
      <w:pPr>
        <w:rPr>
          <w:color w:val="004F5A" w:themeColor="text1"/>
        </w:rPr>
      </w:pPr>
    </w:p>
    <w:p w:rsidR="00341011" w:rsidRPr="00A21F16" w:rsidRDefault="00341011" w:rsidP="00610495">
      <w:pPr>
        <w:rPr>
          <w:i/>
          <w:u w:val="single"/>
        </w:rPr>
      </w:pPr>
      <w:r w:rsidRPr="00A34AF2">
        <w:rPr>
          <w:i/>
          <w:u w:val="single"/>
        </w:rPr>
        <w:t xml:space="preserve">Water/Sewer </w:t>
      </w:r>
      <w:r w:rsidRPr="00A21F16">
        <w:rPr>
          <w:i/>
          <w:u w:val="single"/>
        </w:rPr>
        <w:t>Infrastructure</w:t>
      </w:r>
    </w:p>
    <w:p w:rsidR="00341011" w:rsidRPr="00A21F16" w:rsidRDefault="00341011" w:rsidP="00341011">
      <w:r w:rsidRPr="00A21F16">
        <w:t>Background</w:t>
      </w:r>
    </w:p>
    <w:p w:rsidR="00341011" w:rsidRPr="00A21F16" w:rsidRDefault="00341011" w:rsidP="00341011">
      <w:pPr>
        <w:rPr>
          <w:noProof/>
        </w:rPr>
      </w:pPr>
      <w:r w:rsidRPr="00A21F16">
        <w:rPr>
          <w:noProof/>
        </w:rPr>
        <w:lastRenderedPageBreak/>
        <w:t xml:space="preserve">Extensive consultation has been undertaken between Council and the proponent with respect to the provision of water/sewer services subsequent to MOD 10 being submitted for consideration. Through this, Council have now accepted in principal concept design of a sewer pumping station (SPS) within the proposed park area.  </w:t>
      </w:r>
    </w:p>
    <w:p w:rsidR="00341011" w:rsidRPr="00A21F16" w:rsidRDefault="00341011" w:rsidP="00341011">
      <w:pPr>
        <w:rPr>
          <w:noProof/>
        </w:rPr>
      </w:pPr>
    </w:p>
    <w:p w:rsidR="00341011" w:rsidRPr="00A21F16" w:rsidRDefault="00341011" w:rsidP="00341011">
      <w:pPr>
        <w:rPr>
          <w:noProof/>
        </w:rPr>
      </w:pPr>
      <w:r w:rsidRPr="00A21F16">
        <w:rPr>
          <w:noProof/>
        </w:rPr>
        <w:t>The main areas of concern with the proposed SPS was the buffer zone provided and the depth of the well.  Agreement in principal was given to the concept plans provided by the applicant</w:t>
      </w:r>
      <w:r w:rsidR="00A21F16" w:rsidRPr="00A21F16">
        <w:rPr>
          <w:noProof/>
        </w:rPr>
        <w:t xml:space="preserve"> to Council once</w:t>
      </w:r>
      <w:r w:rsidRPr="00A21F16">
        <w:rPr>
          <w:noProof/>
        </w:rPr>
        <w:t xml:space="preserve"> they met the minimum buffer zone requirement of 30m and the wet well depth requirement of 6 metres.</w:t>
      </w:r>
    </w:p>
    <w:p w:rsidR="00341011" w:rsidRPr="00A21F16" w:rsidRDefault="00341011" w:rsidP="00341011">
      <w:pPr>
        <w:rPr>
          <w:noProof/>
        </w:rPr>
      </w:pPr>
    </w:p>
    <w:p w:rsidR="00341011" w:rsidRPr="00A21F16" w:rsidRDefault="00341011" w:rsidP="00341011">
      <w:pPr>
        <w:rPr>
          <w:noProof/>
        </w:rPr>
      </w:pPr>
      <w:r w:rsidRPr="00A21F16">
        <w:rPr>
          <w:noProof/>
        </w:rPr>
        <w:t>Sewer</w:t>
      </w:r>
    </w:p>
    <w:p w:rsidR="00341011" w:rsidRPr="00A21F16" w:rsidRDefault="00341011" w:rsidP="00341011">
      <w:pPr>
        <w:rPr>
          <w:noProof/>
        </w:rPr>
      </w:pPr>
      <w:r w:rsidRPr="00A21F16">
        <w:rPr>
          <w:noProof/>
        </w:rPr>
        <w:t xml:space="preserve">The Water &amp; Wastewater Engineering plans provided within the RtS provided to the Deparment of Planning and Environment are dated 09/08/17.  These plans include reference to a 20 meter buffer zone from the proposed SPS. However prior to the submission of these plans, agreement was made with the </w:t>
      </w:r>
      <w:r w:rsidR="00A21F16" w:rsidRPr="00A21F16">
        <w:rPr>
          <w:noProof/>
        </w:rPr>
        <w:t>proponent</w:t>
      </w:r>
      <w:r w:rsidRPr="00A21F16">
        <w:rPr>
          <w:noProof/>
        </w:rPr>
        <w:t xml:space="preserve"> that they would provide a 30 meter buffer. Furthermore, when the plans are scaled, the orange area shown on the plan appears to be a distance of 30 meters</w:t>
      </w:r>
      <w:r w:rsidR="00A21F16" w:rsidRPr="00A21F16">
        <w:rPr>
          <w:noProof/>
        </w:rPr>
        <w:t xml:space="preserve"> (see figure</w:t>
      </w:r>
      <w:r w:rsidR="00081A3A">
        <w:rPr>
          <w:noProof/>
        </w:rPr>
        <w:t xml:space="preserve"> 12</w:t>
      </w:r>
      <w:r w:rsidR="00A21F16" w:rsidRPr="00A21F16">
        <w:rPr>
          <w:noProof/>
        </w:rPr>
        <w:t xml:space="preserve"> below)</w:t>
      </w:r>
      <w:r w:rsidRPr="00A21F16">
        <w:rPr>
          <w:noProof/>
        </w:rPr>
        <w:t xml:space="preserve">.  Council will require a minimum of 30 meters despite what is indicated on this plan. </w:t>
      </w:r>
    </w:p>
    <w:p w:rsidR="00341011" w:rsidRPr="00A21F16" w:rsidRDefault="00341011" w:rsidP="00341011">
      <w:pPr>
        <w:rPr>
          <w:noProof/>
        </w:rPr>
      </w:pPr>
    </w:p>
    <w:p w:rsidR="00341011" w:rsidRPr="00A21F16" w:rsidRDefault="00341011" w:rsidP="00341011">
      <w:pPr>
        <w:rPr>
          <w:noProof/>
        </w:rPr>
      </w:pPr>
      <w:r w:rsidRPr="00A21F16">
        <w:rPr>
          <w:noProof/>
          <w:lang w:eastAsia="en-AU"/>
        </w:rPr>
        <w:drawing>
          <wp:inline distT="0" distB="0" distL="0" distR="0" wp14:anchorId="56162807" wp14:editId="2B0A78B9">
            <wp:extent cx="5331125" cy="2109667"/>
            <wp:effectExtent l="0" t="0" r="3175"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331125" cy="2109667"/>
                    </a:xfrm>
                    <a:prstGeom prst="rect">
                      <a:avLst/>
                    </a:prstGeom>
                  </pic:spPr>
                </pic:pic>
              </a:graphicData>
            </a:graphic>
          </wp:inline>
        </w:drawing>
      </w:r>
    </w:p>
    <w:p w:rsidR="00A21F16" w:rsidRPr="00A21F16" w:rsidRDefault="00A21F16" w:rsidP="00A21F16">
      <w:pPr>
        <w:tabs>
          <w:tab w:val="left" w:pos="5103"/>
          <w:tab w:val="left" w:pos="5670"/>
          <w:tab w:val="left" w:pos="6237"/>
        </w:tabs>
        <w:jc w:val="center"/>
        <w:rPr>
          <w:b/>
          <w:sz w:val="20"/>
        </w:rPr>
      </w:pPr>
      <w:r w:rsidRPr="002229A0">
        <w:rPr>
          <w:b/>
          <w:sz w:val="20"/>
        </w:rPr>
        <w:t xml:space="preserve">Figure </w:t>
      </w:r>
      <w:r w:rsidR="002229A0" w:rsidRPr="002229A0">
        <w:rPr>
          <w:b/>
          <w:sz w:val="20"/>
        </w:rPr>
        <w:t>12</w:t>
      </w:r>
      <w:r w:rsidRPr="002229A0">
        <w:rPr>
          <w:b/>
          <w:sz w:val="20"/>
        </w:rPr>
        <w:t xml:space="preserve">: </w:t>
      </w:r>
      <w:r w:rsidR="002229A0" w:rsidRPr="002229A0">
        <w:rPr>
          <w:b/>
          <w:sz w:val="20"/>
        </w:rPr>
        <w:t>Buffer Distance from Sewer Pump Station</w:t>
      </w:r>
      <w:r w:rsidRPr="00A21F16">
        <w:rPr>
          <w:b/>
          <w:sz w:val="20"/>
        </w:rPr>
        <w:t xml:space="preserve"> </w:t>
      </w:r>
    </w:p>
    <w:p w:rsidR="00341011" w:rsidRPr="00A21F16" w:rsidRDefault="00341011" w:rsidP="00341011">
      <w:pPr>
        <w:rPr>
          <w:noProof/>
        </w:rPr>
      </w:pPr>
    </w:p>
    <w:p w:rsidR="00341011" w:rsidRPr="00A21F16" w:rsidRDefault="00A21F16" w:rsidP="00341011">
      <w:pPr>
        <w:rPr>
          <w:noProof/>
        </w:rPr>
      </w:pPr>
      <w:r w:rsidRPr="00A21F16">
        <w:rPr>
          <w:noProof/>
        </w:rPr>
        <w:t xml:space="preserve">Council officers also have concern with the </w:t>
      </w:r>
      <w:r w:rsidR="00341011" w:rsidRPr="00A21F16">
        <w:rPr>
          <w:noProof/>
        </w:rPr>
        <w:t>lack of detail provided to date regarding the sewerage pumping station. The design provided shows only a manhole where the wet well will be located at a depth of just under 6 meters.  However this design does not take into account any of the SPS design requirements and Council have concerns that the proposed wet well will not meet Council development design specifications</w:t>
      </w:r>
      <w:r w:rsidRPr="00A21F16">
        <w:rPr>
          <w:noProof/>
        </w:rPr>
        <w:t xml:space="preserve"> </w:t>
      </w:r>
      <w:r w:rsidR="00341011" w:rsidRPr="00A21F16">
        <w:rPr>
          <w:noProof/>
        </w:rPr>
        <w:t>outlined in D12.20.5(b) that pump wells shall be a maximum depth of 6.0 m (top slab to pump well floor).  Council has indicated it may accept slightly more than 6 meters, however should they not be able to meet this requirement, the design will require amendment to meet the specifications.  This m</w:t>
      </w:r>
      <w:r w:rsidRPr="00A21F16">
        <w:rPr>
          <w:noProof/>
        </w:rPr>
        <w:t>a</w:t>
      </w:r>
      <w:r w:rsidR="00341011" w:rsidRPr="00A21F16">
        <w:rPr>
          <w:noProof/>
        </w:rPr>
        <w:t xml:space="preserve">y include, a redesign of the upstream incoming sewer invert levels, increasing the upstream pipe size to amend the minimum grade requirements, reducing the design surface level at the location of the wet well to reduce the depth, or another option nominated by the deisgner that meets wet well depth requirements.  </w:t>
      </w:r>
    </w:p>
    <w:p w:rsidR="00341011" w:rsidRPr="00A21F16" w:rsidRDefault="00341011" w:rsidP="00341011">
      <w:pPr>
        <w:rPr>
          <w:noProof/>
        </w:rPr>
      </w:pPr>
    </w:p>
    <w:p w:rsidR="00341011" w:rsidRPr="00A21F16" w:rsidRDefault="00341011" w:rsidP="00341011">
      <w:pPr>
        <w:rPr>
          <w:noProof/>
        </w:rPr>
      </w:pPr>
      <w:r w:rsidRPr="00A21F16">
        <w:rPr>
          <w:noProof/>
        </w:rPr>
        <w:t xml:space="preserve">The proposed SPS for this site was intially discussed as a lift station.  However with the exception of the lack of a rising main at this station, this SPS will operate as a pumping station and not a lift station, because in principle, a lift station should be </w:t>
      </w:r>
      <w:r w:rsidRPr="00A21F16">
        <w:rPr>
          <w:noProof/>
        </w:rPr>
        <w:lastRenderedPageBreak/>
        <w:t xml:space="preserve">able to operate even when the pumps are not on, by means of filling the well and overflowing to the next catchment. However due to the fill proposed on the Casuarina Town Centre lot, the ground level upstream of the development is significantly lower (by approximately 3 meters or more). Therefore, should the SPS well fill, the overflow would occur upstream of the well.  Therefore, for all intensive purposes, this SPS will be known as a pump station (not a lift station). Furthermore, sufficient storage will need to be provided by the developer at the SPS (to 8 x ADWF as outlined in the D12) to ensure that if the pumps are not operational, there is sufficient storage to prevent upstream overflows.  </w:t>
      </w:r>
    </w:p>
    <w:p w:rsidR="00341011" w:rsidRPr="00A21F16" w:rsidRDefault="00341011" w:rsidP="00341011">
      <w:pPr>
        <w:rPr>
          <w:noProof/>
        </w:rPr>
      </w:pPr>
    </w:p>
    <w:p w:rsidR="00341011" w:rsidRPr="00A21F16" w:rsidRDefault="00341011" w:rsidP="00341011">
      <w:pPr>
        <w:rPr>
          <w:noProof/>
        </w:rPr>
      </w:pPr>
      <w:r w:rsidRPr="00A21F16">
        <w:rPr>
          <w:noProof/>
        </w:rPr>
        <w:t xml:space="preserve">Other details that are yet to be provided and will need to be shown in the detail design of the sewer include: </w:t>
      </w:r>
    </w:p>
    <w:p w:rsidR="00341011" w:rsidRPr="00A21F16" w:rsidRDefault="00341011" w:rsidP="00341011">
      <w:pPr>
        <w:pStyle w:val="ListParagraph"/>
        <w:numPr>
          <w:ilvl w:val="0"/>
          <w:numId w:val="43"/>
        </w:numPr>
        <w:tabs>
          <w:tab w:val="clear" w:pos="567"/>
        </w:tabs>
        <w:jc w:val="left"/>
        <w:rPr>
          <w:noProof/>
        </w:rPr>
      </w:pPr>
      <w:r w:rsidRPr="00A21F16">
        <w:rPr>
          <w:noProof/>
        </w:rPr>
        <w:t xml:space="preserve">Sewers to be located in road reserves where commercial lots are proposed. </w:t>
      </w:r>
    </w:p>
    <w:p w:rsidR="00341011" w:rsidRPr="00A21F16" w:rsidRDefault="00341011" w:rsidP="00341011">
      <w:pPr>
        <w:pStyle w:val="ListParagraph"/>
        <w:numPr>
          <w:ilvl w:val="0"/>
          <w:numId w:val="43"/>
        </w:numPr>
        <w:tabs>
          <w:tab w:val="clear" w:pos="567"/>
        </w:tabs>
        <w:jc w:val="left"/>
        <w:rPr>
          <w:noProof/>
        </w:rPr>
      </w:pPr>
      <w:r w:rsidRPr="00A21F16">
        <w:rPr>
          <w:noProof/>
        </w:rPr>
        <w:t xml:space="preserve">Proposed sewer connection for lot 50 to be confirmed to ensure it meets Councils requirements that maintenance holes should be limited to 5.0m deep. </w:t>
      </w:r>
    </w:p>
    <w:p w:rsidR="00341011" w:rsidRPr="00A21F16" w:rsidRDefault="00341011" w:rsidP="00341011">
      <w:pPr>
        <w:pStyle w:val="ListParagraph"/>
        <w:numPr>
          <w:ilvl w:val="0"/>
          <w:numId w:val="43"/>
        </w:numPr>
        <w:tabs>
          <w:tab w:val="clear" w:pos="567"/>
        </w:tabs>
        <w:jc w:val="left"/>
        <w:rPr>
          <w:noProof/>
        </w:rPr>
      </w:pPr>
      <w:r w:rsidRPr="00A21F16">
        <w:rPr>
          <w:noProof/>
        </w:rPr>
        <w:t>Additional manholes required where sewer is at road crossing (ie: from Class 8 to Class 12 under road)</w:t>
      </w:r>
    </w:p>
    <w:p w:rsidR="00341011" w:rsidRPr="00A21F16" w:rsidRDefault="00341011" w:rsidP="00341011">
      <w:pPr>
        <w:pStyle w:val="ListParagraph"/>
        <w:numPr>
          <w:ilvl w:val="0"/>
          <w:numId w:val="43"/>
        </w:numPr>
        <w:tabs>
          <w:tab w:val="clear" w:pos="567"/>
        </w:tabs>
        <w:jc w:val="left"/>
        <w:rPr>
          <w:noProof/>
        </w:rPr>
      </w:pPr>
      <w:r w:rsidRPr="00A21F16">
        <w:rPr>
          <w:noProof/>
        </w:rPr>
        <w:t>Sewerage Study to be provided as part of detail design.</w:t>
      </w:r>
    </w:p>
    <w:p w:rsidR="00341011" w:rsidRPr="00A21F16" w:rsidRDefault="00341011" w:rsidP="00341011">
      <w:pPr>
        <w:pStyle w:val="ListParagraph"/>
        <w:numPr>
          <w:ilvl w:val="0"/>
          <w:numId w:val="43"/>
        </w:numPr>
        <w:tabs>
          <w:tab w:val="clear" w:pos="567"/>
        </w:tabs>
        <w:jc w:val="left"/>
        <w:rPr>
          <w:noProof/>
        </w:rPr>
      </w:pPr>
      <w:r w:rsidRPr="00A21F16">
        <w:rPr>
          <w:noProof/>
        </w:rPr>
        <w:t>SPS design to be provided as part of detail design.</w:t>
      </w:r>
    </w:p>
    <w:p w:rsidR="00341011" w:rsidRPr="00A21F16" w:rsidRDefault="00A21F16" w:rsidP="00341011">
      <w:pPr>
        <w:pStyle w:val="ListParagraph"/>
        <w:numPr>
          <w:ilvl w:val="0"/>
          <w:numId w:val="43"/>
        </w:numPr>
        <w:tabs>
          <w:tab w:val="clear" w:pos="567"/>
        </w:tabs>
        <w:jc w:val="left"/>
        <w:rPr>
          <w:noProof/>
        </w:rPr>
      </w:pPr>
      <w:r w:rsidRPr="00A21F16">
        <w:rPr>
          <w:noProof/>
        </w:rPr>
        <w:t xml:space="preserve">MOD 10, if approved would need to </w:t>
      </w:r>
      <w:r w:rsidR="00341011" w:rsidRPr="00A21F16">
        <w:rPr>
          <w:noProof/>
        </w:rPr>
        <w:t xml:space="preserve">be conditioned to ensure that it is clear that any plans provided to date are considered as conceptual only and detail design will be required prior to construction certificate for approval by Council. </w:t>
      </w:r>
    </w:p>
    <w:p w:rsidR="0073076D" w:rsidRDefault="0073076D" w:rsidP="0073076D">
      <w:pPr>
        <w:rPr>
          <w:noProof/>
        </w:rPr>
      </w:pPr>
      <w:bookmarkStart w:id="0" w:name="_GoBack"/>
      <w:bookmarkEnd w:id="0"/>
    </w:p>
    <w:p w:rsidR="0073076D" w:rsidRDefault="0073076D" w:rsidP="0073076D">
      <w:pPr>
        <w:rPr>
          <w:noProof/>
        </w:rPr>
      </w:pPr>
      <w:r>
        <w:rPr>
          <w:noProof/>
        </w:rPr>
        <w:t>Furthermore, during construction of proposed stage 1D, Council will require the exising live sewer within the lot to remain accessable for repairs and maintenance until it is decommissioned.  Therefore Council will require that b</w:t>
      </w:r>
      <w:r w:rsidRPr="00F96D7D">
        <w:t>ulk earthworks</w:t>
      </w:r>
      <w:r>
        <w:t xml:space="preserve"> with</w:t>
      </w:r>
      <w:r w:rsidRPr="00F96D7D">
        <w:t xml:space="preserve">in </w:t>
      </w:r>
      <w:r>
        <w:t xml:space="preserve">a 10 metre </w:t>
      </w:r>
      <w:r w:rsidRPr="00F96D7D">
        <w:t xml:space="preserve">proximity to the existing trunk sewer on the lot shall not commence until the provision of </w:t>
      </w:r>
      <w:r>
        <w:t>the</w:t>
      </w:r>
      <w:r w:rsidRPr="00F96D7D">
        <w:t xml:space="preserve"> new </w:t>
      </w:r>
      <w:r w:rsidRPr="00E1062A">
        <w:t xml:space="preserve">sewer pumping station </w:t>
      </w:r>
      <w:r>
        <w:t xml:space="preserve">and trunk </w:t>
      </w:r>
      <w:r w:rsidRPr="00F96D7D">
        <w:t xml:space="preserve">sewer main has been completed </w:t>
      </w:r>
      <w:r>
        <w:t xml:space="preserve">and commissioned </w:t>
      </w:r>
      <w:r w:rsidRPr="00F96D7D">
        <w:t>as part of the initial staged works and approved by Council.</w:t>
      </w:r>
      <w:r>
        <w:t xml:space="preserve">  Similarly the</w:t>
      </w:r>
      <w:r w:rsidRPr="00790A46">
        <w:t xml:space="preserve"> demolition of the existing trunk sewer</w:t>
      </w:r>
      <w:r>
        <w:t xml:space="preserve"> cannot commence until the</w:t>
      </w:r>
      <w:r w:rsidRPr="00790A46">
        <w:t xml:space="preserve"> provision of the new </w:t>
      </w:r>
      <w:r w:rsidRPr="00E1062A">
        <w:t xml:space="preserve">sewer pumping station </w:t>
      </w:r>
      <w:r w:rsidRPr="00790A46">
        <w:t>and trun</w:t>
      </w:r>
      <w:r>
        <w:t xml:space="preserve">k sewer main has been completed, </w:t>
      </w:r>
      <w:r w:rsidRPr="00790A46">
        <w:t>commissioned</w:t>
      </w:r>
      <w:r>
        <w:t xml:space="preserve"> and approved by Council.  </w:t>
      </w:r>
    </w:p>
    <w:p w:rsidR="00341011" w:rsidRDefault="00341011" w:rsidP="00341011">
      <w:pPr>
        <w:rPr>
          <w:noProof/>
        </w:rPr>
      </w:pPr>
    </w:p>
    <w:p w:rsidR="00341011" w:rsidRPr="00A21F16" w:rsidRDefault="00341011" w:rsidP="00341011">
      <w:pPr>
        <w:rPr>
          <w:noProof/>
        </w:rPr>
      </w:pPr>
      <w:r w:rsidRPr="00A21F16">
        <w:rPr>
          <w:noProof/>
        </w:rPr>
        <w:t>Water</w:t>
      </w:r>
    </w:p>
    <w:p w:rsidR="00341011" w:rsidRPr="00A21F16" w:rsidRDefault="00341011" w:rsidP="00A21F16">
      <w:pPr>
        <w:rPr>
          <w:noProof/>
        </w:rPr>
      </w:pPr>
      <w:r w:rsidRPr="00A21F16">
        <w:rPr>
          <w:noProof/>
        </w:rPr>
        <w:t xml:space="preserve">To date a water supply layout has been provided by the </w:t>
      </w:r>
      <w:r w:rsidR="00A21F16" w:rsidRPr="00A21F16">
        <w:rPr>
          <w:noProof/>
        </w:rPr>
        <w:t>proponent</w:t>
      </w:r>
      <w:r w:rsidRPr="00A21F16">
        <w:rPr>
          <w:noProof/>
        </w:rPr>
        <w:t xml:space="preserve">, </w:t>
      </w:r>
      <w:r w:rsidR="00A21F16" w:rsidRPr="00A21F16">
        <w:rPr>
          <w:noProof/>
        </w:rPr>
        <w:t>with</w:t>
      </w:r>
      <w:r w:rsidRPr="00A21F16">
        <w:rPr>
          <w:noProof/>
        </w:rPr>
        <w:t xml:space="preserve"> no information regarding the proposed pipe sizes within the development are shown. Therefore, whilst the Water supply design generally appears to meet Council requirements with respect to layout, the </w:t>
      </w:r>
      <w:r w:rsidR="00A21F16" w:rsidRPr="00A21F16">
        <w:rPr>
          <w:noProof/>
        </w:rPr>
        <w:t xml:space="preserve">proponent </w:t>
      </w:r>
      <w:r w:rsidRPr="00A21F16">
        <w:rPr>
          <w:noProof/>
        </w:rPr>
        <w:t xml:space="preserve">is yet to demonstrate that they will be able to meet </w:t>
      </w:r>
      <w:r w:rsidR="00A21F16" w:rsidRPr="00A21F16">
        <w:rPr>
          <w:noProof/>
        </w:rPr>
        <w:t>Council</w:t>
      </w:r>
      <w:r w:rsidRPr="00A21F16">
        <w:rPr>
          <w:noProof/>
        </w:rPr>
        <w:t xml:space="preserve"> standards within the development.  It will be up to the </w:t>
      </w:r>
      <w:r w:rsidR="00A21F16" w:rsidRPr="00A21F16">
        <w:rPr>
          <w:noProof/>
        </w:rPr>
        <w:t>proponent</w:t>
      </w:r>
      <w:r w:rsidRPr="00A21F16">
        <w:rPr>
          <w:noProof/>
        </w:rPr>
        <w:t xml:space="preserve"> to demonstrate this within their detail design plans via a</w:t>
      </w:r>
      <w:r w:rsidR="00A21F16" w:rsidRPr="00A21F16">
        <w:rPr>
          <w:noProof/>
        </w:rPr>
        <w:t>n</w:t>
      </w:r>
      <w:r w:rsidRPr="00A21F16">
        <w:rPr>
          <w:noProof/>
        </w:rPr>
        <w:t xml:space="preserve"> hydraulic model or another method that demonstrates that these requirements shall be met.  </w:t>
      </w:r>
    </w:p>
    <w:p w:rsidR="00341011" w:rsidRPr="00A21F16" w:rsidRDefault="00341011" w:rsidP="00341011">
      <w:pPr>
        <w:rPr>
          <w:noProof/>
        </w:rPr>
      </w:pPr>
    </w:p>
    <w:p w:rsidR="00341011" w:rsidRPr="00A21F16" w:rsidRDefault="00341011" w:rsidP="00341011">
      <w:pPr>
        <w:rPr>
          <w:noProof/>
        </w:rPr>
      </w:pPr>
      <w:r w:rsidRPr="00A21F16">
        <w:rPr>
          <w:noProof/>
        </w:rPr>
        <w:t xml:space="preserve">Other details that are yet to be provided and will need to be shown in the detail design of the </w:t>
      </w:r>
      <w:r w:rsidR="0073076D">
        <w:rPr>
          <w:noProof/>
        </w:rPr>
        <w:t>water</w:t>
      </w:r>
      <w:r w:rsidRPr="00A21F16">
        <w:rPr>
          <w:noProof/>
        </w:rPr>
        <w:t xml:space="preserve"> include: </w:t>
      </w:r>
    </w:p>
    <w:p w:rsidR="00341011" w:rsidRDefault="00341011" w:rsidP="00341011">
      <w:pPr>
        <w:pStyle w:val="ListParagraph"/>
        <w:numPr>
          <w:ilvl w:val="0"/>
          <w:numId w:val="43"/>
        </w:numPr>
        <w:tabs>
          <w:tab w:val="clear" w:pos="567"/>
        </w:tabs>
        <w:jc w:val="left"/>
        <w:rPr>
          <w:noProof/>
        </w:rPr>
      </w:pPr>
      <w:r w:rsidRPr="00A21F16">
        <w:rPr>
          <w:noProof/>
        </w:rPr>
        <w:t>Water Supply Study to be provided as part of detail design.</w:t>
      </w:r>
    </w:p>
    <w:p w:rsidR="00341011" w:rsidRPr="008E78C3" w:rsidRDefault="00A34AF2" w:rsidP="00341011">
      <w:pPr>
        <w:pStyle w:val="ListParagraph"/>
        <w:numPr>
          <w:ilvl w:val="0"/>
          <w:numId w:val="43"/>
        </w:numPr>
        <w:tabs>
          <w:tab w:val="clear" w:pos="567"/>
        </w:tabs>
        <w:jc w:val="left"/>
        <w:rPr>
          <w:noProof/>
        </w:rPr>
      </w:pPr>
      <w:r w:rsidRPr="00A21F16">
        <w:rPr>
          <w:noProof/>
        </w:rPr>
        <w:t xml:space="preserve">MOD 10, if approved </w:t>
      </w:r>
      <w:r w:rsidR="00341011" w:rsidRPr="00A34AF2">
        <w:rPr>
          <w:noProof/>
        </w:rPr>
        <w:t>shall be conditioned to ensure that it is clear that any plan</w:t>
      </w:r>
      <w:r w:rsidR="00341011" w:rsidRPr="008E78C3">
        <w:rPr>
          <w:noProof/>
        </w:rPr>
        <w:t>s provided to date are considered as conceptual only and detail design will be required prior to construction certificate for approval by Council.</w:t>
      </w:r>
    </w:p>
    <w:p w:rsidR="00341011" w:rsidRPr="008E78C3" w:rsidRDefault="00341011" w:rsidP="00610495"/>
    <w:p w:rsidR="003076AB" w:rsidRPr="008E78C3" w:rsidRDefault="003076AB" w:rsidP="00610495">
      <w:pPr>
        <w:rPr>
          <w:i/>
          <w:u w:val="single"/>
        </w:rPr>
      </w:pPr>
      <w:r w:rsidRPr="008E78C3">
        <w:rPr>
          <w:i/>
          <w:u w:val="single"/>
        </w:rPr>
        <w:t>Public Open Space</w:t>
      </w:r>
    </w:p>
    <w:p w:rsidR="00FB4661" w:rsidRPr="008E78C3" w:rsidRDefault="00FB4661" w:rsidP="00610495"/>
    <w:p w:rsidR="00655967" w:rsidRPr="008E78C3" w:rsidRDefault="0040727A" w:rsidP="00610495">
      <w:r w:rsidRPr="008E78C3">
        <w:t>Area</w:t>
      </w:r>
      <w:r w:rsidR="00655967" w:rsidRPr="008E78C3">
        <w:t xml:space="preserve"> dedicated to Council</w:t>
      </w:r>
    </w:p>
    <w:p w:rsidR="0040727A" w:rsidRPr="008E78C3" w:rsidRDefault="00F505A8" w:rsidP="00610495">
      <w:r w:rsidRPr="008E78C3">
        <w:t xml:space="preserve">NSW Planning </w:t>
      </w:r>
      <w:r w:rsidR="00FB4661" w:rsidRPr="008E78C3">
        <w:t>is</w:t>
      </w:r>
      <w:r w:rsidRPr="008E78C3">
        <w:t xml:space="preserve"> requested to </w:t>
      </w:r>
      <w:r w:rsidR="00FB4661" w:rsidRPr="008E78C3">
        <w:t>identify</w:t>
      </w:r>
      <w:r w:rsidRPr="008E78C3">
        <w:t xml:space="preserve"> the</w:t>
      </w:r>
      <w:r w:rsidR="00FB4661" w:rsidRPr="008E78C3">
        <w:t xml:space="preserve"> overall</w:t>
      </w:r>
      <w:r w:rsidRPr="008E78C3">
        <w:t xml:space="preserve"> quantity of open space dedicated</w:t>
      </w:r>
      <w:r w:rsidR="0040727A" w:rsidRPr="008E78C3">
        <w:t xml:space="preserve"> to Council under the </w:t>
      </w:r>
      <w:r w:rsidR="00610C42" w:rsidRPr="008E78C3">
        <w:t xml:space="preserve">MOD 10 layout as compared to that previously approved. </w:t>
      </w:r>
      <w:r w:rsidR="004137A5" w:rsidRPr="008E78C3">
        <w:t>It is noted that the original assessment undertaken combined the total area of dedicated easement and open space</w:t>
      </w:r>
      <w:r w:rsidR="00610C42" w:rsidRPr="008E78C3">
        <w:t xml:space="preserve"> and</w:t>
      </w:r>
      <w:r w:rsidR="00FB4661" w:rsidRPr="008E78C3">
        <w:t xml:space="preserve"> identified the location and size of these areas (See Figure 18 &amp; Table 2 of Director-General’s Environmental Assessment Report).</w:t>
      </w:r>
    </w:p>
    <w:p w:rsidR="00FB4661" w:rsidRPr="008E78C3" w:rsidRDefault="00FB4661" w:rsidP="00610495"/>
    <w:p w:rsidR="00FB4661" w:rsidRPr="00D8422D" w:rsidRDefault="00FB4661" w:rsidP="00FB4661">
      <w:r w:rsidRPr="008E78C3">
        <w:t xml:space="preserve">While the </w:t>
      </w:r>
      <w:r w:rsidR="0040727A" w:rsidRPr="008E78C3">
        <w:t xml:space="preserve">amount of casual open space being dedicated is </w:t>
      </w:r>
      <w:r w:rsidRPr="008E78C3">
        <w:t>considered to be less than</w:t>
      </w:r>
      <w:r w:rsidR="0040727A" w:rsidRPr="008E78C3">
        <w:t xml:space="preserve"> that required under Council’s</w:t>
      </w:r>
      <w:r w:rsidRPr="008E78C3">
        <w:t xml:space="preserve"> </w:t>
      </w:r>
      <w:r w:rsidR="0040727A" w:rsidRPr="008E78C3">
        <w:t xml:space="preserve">subdivision manual </w:t>
      </w:r>
      <w:r w:rsidRPr="008E78C3">
        <w:t xml:space="preserve">controls based on the population envisaged, it is </w:t>
      </w:r>
      <w:r w:rsidR="0040727A" w:rsidRPr="008E78C3">
        <w:t>recognise</w:t>
      </w:r>
      <w:r w:rsidRPr="008E78C3">
        <w:t>d</w:t>
      </w:r>
      <w:r w:rsidR="0040727A" w:rsidRPr="008E78C3">
        <w:t xml:space="preserve"> </w:t>
      </w:r>
      <w:r w:rsidRPr="008E78C3">
        <w:t xml:space="preserve">that </w:t>
      </w:r>
      <w:r w:rsidR="0040727A" w:rsidRPr="008E78C3">
        <w:t>th</w:t>
      </w:r>
      <w:r w:rsidRPr="008E78C3">
        <w:t xml:space="preserve">is is an application to modify a previous approval and that overall the population is </w:t>
      </w:r>
      <w:r w:rsidR="008E78C3" w:rsidRPr="008E78C3">
        <w:t xml:space="preserve">proposed to be reduced through this </w:t>
      </w:r>
      <w:r w:rsidR="008E78C3" w:rsidRPr="00D8422D">
        <w:t>modification.</w:t>
      </w:r>
    </w:p>
    <w:p w:rsidR="003F71FF" w:rsidRPr="00D8422D" w:rsidRDefault="003F71FF" w:rsidP="00FB4661"/>
    <w:p w:rsidR="00762366" w:rsidRPr="00D8422D" w:rsidRDefault="003F71FF" w:rsidP="00610495">
      <w:pPr>
        <w:rPr>
          <w:highlight w:val="yellow"/>
        </w:rPr>
      </w:pPr>
      <w:r w:rsidRPr="00D8422D">
        <w:t>Cycleways</w:t>
      </w:r>
    </w:p>
    <w:p w:rsidR="0040727A" w:rsidRPr="00D8422D" w:rsidRDefault="00454C6D" w:rsidP="00454C6D">
      <w:r w:rsidRPr="00D8422D">
        <w:t xml:space="preserve">Consideration should be given to the connections between </w:t>
      </w:r>
      <w:r w:rsidR="004838A0" w:rsidRPr="00D8422D">
        <w:t xml:space="preserve">proposed cycleways and footpaths within the Casuarina Town Centre development. In particular, it should be ensured that </w:t>
      </w:r>
      <w:r w:rsidR="0040727A" w:rsidRPr="00D8422D">
        <w:t>a shared path</w:t>
      </w:r>
      <w:r w:rsidR="004838A0" w:rsidRPr="00D8422D">
        <w:t xml:space="preserve"> doesn’t</w:t>
      </w:r>
      <w:r w:rsidR="0040727A" w:rsidRPr="00D8422D">
        <w:t xml:space="preserve"> end suddenly at a footpath</w:t>
      </w:r>
      <w:r w:rsidR="004838A0" w:rsidRPr="00D8422D">
        <w:t xml:space="preserve"> but instead, where possible should</w:t>
      </w:r>
      <w:r w:rsidR="0040727A" w:rsidRPr="00D8422D">
        <w:t xml:space="preserve"> join another cycleway/shared path that leads to a destination point</w:t>
      </w:r>
      <w:r w:rsidR="004838A0" w:rsidRPr="00D8422D">
        <w:t>.</w:t>
      </w:r>
      <w:r w:rsidR="0040727A" w:rsidRPr="00D8422D">
        <w:t xml:space="preserve"> </w:t>
      </w:r>
      <w:r w:rsidR="004838A0" w:rsidRPr="00D8422D">
        <w:t>The following specific comment is provided;</w:t>
      </w:r>
    </w:p>
    <w:p w:rsidR="0040727A" w:rsidRPr="00D8422D" w:rsidRDefault="0040727A" w:rsidP="0040727A">
      <w:pPr>
        <w:pStyle w:val="ListParagraph"/>
        <w:tabs>
          <w:tab w:val="clear" w:pos="567"/>
        </w:tabs>
        <w:ind w:left="1440"/>
        <w:contextualSpacing w:val="0"/>
        <w:jc w:val="left"/>
      </w:pPr>
    </w:p>
    <w:p w:rsidR="00D8422D" w:rsidRPr="00D8422D" w:rsidRDefault="004838A0" w:rsidP="004838A0">
      <w:pPr>
        <w:pStyle w:val="ListParagraph"/>
        <w:numPr>
          <w:ilvl w:val="0"/>
          <w:numId w:val="49"/>
        </w:numPr>
        <w:rPr>
          <w:color w:val="1F497D"/>
        </w:rPr>
      </w:pPr>
      <w:r w:rsidRPr="00D8422D">
        <w:t>T</w:t>
      </w:r>
      <w:r w:rsidR="0040727A" w:rsidRPr="00D8422D">
        <w:t xml:space="preserve">he cycle path at the South West corner of the Town Centre </w:t>
      </w:r>
      <w:r w:rsidR="00D8422D">
        <w:t xml:space="preserve">has been </w:t>
      </w:r>
      <w:r w:rsidR="0040727A" w:rsidRPr="00D8422D">
        <w:t>moved</w:t>
      </w:r>
      <w:r w:rsidR="00D8422D">
        <w:t xml:space="preserve"> on the submitted landscape plans</w:t>
      </w:r>
      <w:r w:rsidR="0040727A" w:rsidRPr="00D8422D">
        <w:t xml:space="preserve"> so it doe</w:t>
      </w:r>
      <w:r w:rsidRPr="00D8422D">
        <w:t>sn’t</w:t>
      </w:r>
      <w:r w:rsidR="00D8422D">
        <w:t xml:space="preserve"> now</w:t>
      </w:r>
      <w:r w:rsidRPr="00D8422D">
        <w:t xml:space="preserve"> go through the open space lot for</w:t>
      </w:r>
      <w:r w:rsidR="0040727A" w:rsidRPr="00D8422D">
        <w:t xml:space="preserve"> drainage reserve.  </w:t>
      </w:r>
      <w:r w:rsidR="00D8422D">
        <w:t>Instead, t</w:t>
      </w:r>
      <w:r w:rsidR="0040727A" w:rsidRPr="00D8422D">
        <w:t>he cyclepath now join</w:t>
      </w:r>
      <w:r w:rsidRPr="00D8422D">
        <w:t>s</w:t>
      </w:r>
      <w:r w:rsidR="0040727A" w:rsidRPr="00D8422D">
        <w:t xml:space="preserve"> the existing cyclepath</w:t>
      </w:r>
      <w:r w:rsidR="00D8422D">
        <w:t xml:space="preserve"> at Casuarina Way</w:t>
      </w:r>
      <w:r w:rsidR="0040727A" w:rsidRPr="00D8422D">
        <w:t xml:space="preserve"> with a sharp turn. </w:t>
      </w:r>
      <w:r w:rsidRPr="00D8422D">
        <w:t>It is noted however that Plan P7 -Dedication &amp; Easement Plan Stages 1D &amp; 1E (prepared by Newton Denny Chapelle) demonstrates a road reserve dedication to this area which generally follows the previous cyclepath</w:t>
      </w:r>
      <w:r w:rsidR="00D8422D">
        <w:t xml:space="preserve"> (See figure</w:t>
      </w:r>
      <w:r w:rsidR="002229A0">
        <w:t xml:space="preserve"> 13</w:t>
      </w:r>
      <w:r w:rsidR="00D8422D">
        <w:t xml:space="preserve"> below)</w:t>
      </w:r>
      <w:r w:rsidRPr="00D8422D">
        <w:t>.</w:t>
      </w:r>
      <w:r w:rsidR="00D8422D" w:rsidRPr="00D8422D">
        <w:t xml:space="preserve"> </w:t>
      </w:r>
      <w:r w:rsidR="00D8422D">
        <w:t>NSW Planning are requested to clarify the intended cycleway layout at this location and ensure that any layout approved connects in a safe manner with the Casuarina Way cycleway.</w:t>
      </w:r>
    </w:p>
    <w:p w:rsidR="00D8422D" w:rsidRPr="00D8422D" w:rsidRDefault="002229A0" w:rsidP="00D8422D">
      <w:pPr>
        <w:jc w:val="center"/>
        <w:rPr>
          <w:color w:val="1F497D"/>
        </w:rPr>
      </w:pPr>
      <w:r>
        <w:rPr>
          <w:noProof/>
          <w:color w:val="1F497D"/>
          <w:lang w:eastAsia="en-AU"/>
        </w:rPr>
        <w:lastRenderedPageBreak/>
        <w:drawing>
          <wp:inline distT="0" distB="0" distL="0" distR="0">
            <wp:extent cx="4189095" cy="4274185"/>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189095" cy="4274185"/>
                    </a:xfrm>
                    <a:prstGeom prst="rect">
                      <a:avLst/>
                    </a:prstGeom>
                    <a:noFill/>
                    <a:ln>
                      <a:noFill/>
                    </a:ln>
                  </pic:spPr>
                </pic:pic>
              </a:graphicData>
            </a:graphic>
          </wp:inline>
        </w:drawing>
      </w:r>
    </w:p>
    <w:p w:rsidR="00D8422D" w:rsidRPr="00BC1312" w:rsidRDefault="002229A0" w:rsidP="00D8422D">
      <w:pPr>
        <w:tabs>
          <w:tab w:val="left" w:pos="5103"/>
          <w:tab w:val="left" w:pos="5670"/>
          <w:tab w:val="left" w:pos="6237"/>
        </w:tabs>
        <w:jc w:val="center"/>
        <w:rPr>
          <w:b/>
        </w:rPr>
      </w:pPr>
      <w:r w:rsidRPr="002229A0">
        <w:rPr>
          <w:b/>
          <w:sz w:val="20"/>
        </w:rPr>
        <w:t>Figure 13</w:t>
      </w:r>
      <w:r w:rsidR="00D8422D" w:rsidRPr="002229A0">
        <w:rPr>
          <w:b/>
          <w:sz w:val="20"/>
        </w:rPr>
        <w:t xml:space="preserve">: </w:t>
      </w:r>
      <w:r w:rsidRPr="002229A0">
        <w:rPr>
          <w:b/>
          <w:sz w:val="20"/>
        </w:rPr>
        <w:t>Road reserve (</w:t>
      </w:r>
      <w:r>
        <w:rPr>
          <w:b/>
          <w:sz w:val="20"/>
        </w:rPr>
        <w:t xml:space="preserve">Possible </w:t>
      </w:r>
      <w:r w:rsidRPr="002229A0">
        <w:rPr>
          <w:b/>
          <w:sz w:val="20"/>
        </w:rPr>
        <w:t>Cycleway)</w:t>
      </w:r>
    </w:p>
    <w:p w:rsidR="004838A0" w:rsidRPr="00D8422D" w:rsidRDefault="004838A0" w:rsidP="00D8422D">
      <w:pPr>
        <w:rPr>
          <w:color w:val="1F497D"/>
        </w:rPr>
      </w:pPr>
    </w:p>
    <w:p w:rsidR="0040727A" w:rsidRPr="00454C6D" w:rsidRDefault="00454C6D" w:rsidP="00454C6D">
      <w:pPr>
        <w:pStyle w:val="ListParagraph"/>
        <w:numPr>
          <w:ilvl w:val="0"/>
          <w:numId w:val="48"/>
        </w:numPr>
      </w:pPr>
      <w:r w:rsidRPr="00454C6D">
        <w:rPr>
          <w:color w:val="1F497D"/>
        </w:rPr>
        <w:t>A</w:t>
      </w:r>
      <w:r w:rsidR="0040727A" w:rsidRPr="00454C6D">
        <w:t>t the North East end of the Town Centre there has been a change to where the cyclepath joins Casuarina Way.</w:t>
      </w:r>
      <w:r w:rsidRPr="00454C6D">
        <w:t xml:space="preserve"> Previously this was through the north portion of proposed lot 51. NSW Planning </w:t>
      </w:r>
      <w:r w:rsidR="004838A0">
        <w:t>is</w:t>
      </w:r>
      <w:r w:rsidRPr="00454C6D">
        <w:t xml:space="preserve"> requested to </w:t>
      </w:r>
      <w:r w:rsidR="004838A0">
        <w:t>consider</w:t>
      </w:r>
      <w:r w:rsidRPr="00454C6D">
        <w:t xml:space="preserve"> whether the deletion of this linkage is appropriate</w:t>
      </w:r>
      <w:r w:rsidR="004838A0">
        <w:t xml:space="preserve"> as part of a detailed assessment</w:t>
      </w:r>
      <w:r w:rsidRPr="00454C6D">
        <w:t xml:space="preserve">. </w:t>
      </w:r>
    </w:p>
    <w:p w:rsidR="00454C6D" w:rsidRPr="00454C6D" w:rsidRDefault="00454C6D" w:rsidP="0040727A">
      <w:pPr>
        <w:pStyle w:val="ListParagraph"/>
        <w:tabs>
          <w:tab w:val="clear" w:pos="567"/>
        </w:tabs>
        <w:ind w:left="1440"/>
        <w:contextualSpacing w:val="0"/>
        <w:jc w:val="left"/>
      </w:pPr>
    </w:p>
    <w:p w:rsidR="0040727A" w:rsidRPr="00454C6D" w:rsidRDefault="00454C6D" w:rsidP="00454C6D">
      <w:pPr>
        <w:pStyle w:val="ListParagraph"/>
        <w:numPr>
          <w:ilvl w:val="0"/>
          <w:numId w:val="48"/>
        </w:numPr>
      </w:pPr>
      <w:r w:rsidRPr="00454C6D">
        <w:t>The cyclepath should be extended to connect to the existing shopping centre.</w:t>
      </w:r>
    </w:p>
    <w:p w:rsidR="0040727A" w:rsidRDefault="0040727A" w:rsidP="00610495">
      <w:pPr>
        <w:rPr>
          <w:color w:val="004F5A" w:themeColor="text1"/>
          <w:highlight w:val="yellow"/>
        </w:rPr>
      </w:pPr>
    </w:p>
    <w:p w:rsidR="00762366" w:rsidRPr="00132991" w:rsidRDefault="008E78C3" w:rsidP="00610495">
      <w:r w:rsidRPr="00132991">
        <w:t xml:space="preserve">Public </w:t>
      </w:r>
      <w:r w:rsidR="0040727A" w:rsidRPr="00132991">
        <w:t>Park</w:t>
      </w:r>
      <w:r w:rsidRPr="00132991">
        <w:t xml:space="preserve"> (Proposed Lot 84)</w:t>
      </w:r>
    </w:p>
    <w:p w:rsidR="00E339BA" w:rsidRPr="002D7EFE" w:rsidRDefault="008E78C3" w:rsidP="00610495">
      <w:r w:rsidRPr="00132991">
        <w:t xml:space="preserve">The following comments are provided with respect to the public park. It is considered that these </w:t>
      </w:r>
      <w:r w:rsidR="00E339BA" w:rsidRPr="00132991">
        <w:t xml:space="preserve">relate to detailed design within the park and can likely be dealt with via appropriate conditions </w:t>
      </w:r>
      <w:r w:rsidR="00E339BA" w:rsidRPr="002D7EFE">
        <w:t xml:space="preserve">of approval, but nevertheless outline important considerations for Council which are requested </w:t>
      </w:r>
      <w:r w:rsidR="00132991" w:rsidRPr="002D7EFE">
        <w:t>to be taken into account as par</w:t>
      </w:r>
      <w:r w:rsidR="00E339BA" w:rsidRPr="002D7EFE">
        <w:t>t</w:t>
      </w:r>
      <w:r w:rsidR="00132991" w:rsidRPr="002D7EFE">
        <w:t xml:space="preserve"> </w:t>
      </w:r>
      <w:r w:rsidR="00E339BA" w:rsidRPr="002D7EFE">
        <w:t>of NSW Planning assessment;</w:t>
      </w:r>
    </w:p>
    <w:p w:rsidR="00E339BA" w:rsidRPr="002D7EFE" w:rsidRDefault="00E339BA" w:rsidP="00610495">
      <w:pPr>
        <w:rPr>
          <w:highlight w:val="yellow"/>
        </w:rPr>
      </w:pPr>
    </w:p>
    <w:p w:rsidR="002D7EFE" w:rsidRPr="002D7EFE" w:rsidRDefault="00132991" w:rsidP="00132991">
      <w:pPr>
        <w:pStyle w:val="ListParagraph"/>
        <w:numPr>
          <w:ilvl w:val="0"/>
          <w:numId w:val="37"/>
        </w:numPr>
        <w:tabs>
          <w:tab w:val="clear" w:pos="567"/>
        </w:tabs>
        <w:contextualSpacing w:val="0"/>
        <w:jc w:val="left"/>
      </w:pPr>
      <w:r w:rsidRPr="002D7EFE">
        <w:t xml:space="preserve">The park is impacted upon by the infiltration basin, sewer pump station and service driveways being located within the site. In this regard, the </w:t>
      </w:r>
      <w:r w:rsidR="002D7EFE" w:rsidRPr="002D7EFE">
        <w:t>detailed design of the park must be carefully considered to ensure that the park can function to a high level.</w:t>
      </w:r>
    </w:p>
    <w:p w:rsidR="002D7EFE" w:rsidRPr="002D7EFE" w:rsidRDefault="002D7EFE" w:rsidP="002D7EFE">
      <w:pPr>
        <w:ind w:left="360"/>
      </w:pPr>
    </w:p>
    <w:p w:rsidR="00E339BA" w:rsidRPr="002D7EFE" w:rsidRDefault="001239CA" w:rsidP="00E339BA">
      <w:pPr>
        <w:pStyle w:val="ListParagraph"/>
        <w:numPr>
          <w:ilvl w:val="0"/>
          <w:numId w:val="37"/>
        </w:numPr>
        <w:tabs>
          <w:tab w:val="clear" w:pos="567"/>
        </w:tabs>
        <w:contextualSpacing w:val="0"/>
        <w:jc w:val="left"/>
      </w:pPr>
      <w:r w:rsidRPr="002D7EFE">
        <w:t xml:space="preserve">The service driveway for the </w:t>
      </w:r>
      <w:r w:rsidR="00E339BA" w:rsidRPr="002D7EFE">
        <w:t xml:space="preserve">sewer </w:t>
      </w:r>
      <w:r w:rsidRPr="002D7EFE">
        <w:t>pump station appear</w:t>
      </w:r>
      <w:r w:rsidR="00E339BA" w:rsidRPr="002D7EFE">
        <w:t>s</w:t>
      </w:r>
      <w:r w:rsidRPr="002D7EFE">
        <w:t xml:space="preserve"> excessively long</w:t>
      </w:r>
      <w:r w:rsidR="00E339BA" w:rsidRPr="002D7EFE">
        <w:t xml:space="preserve">, extending approximately 20m past the location of the pump station. Council wishes to ensure that </w:t>
      </w:r>
      <w:r w:rsidR="00132991" w:rsidRPr="002D7EFE">
        <w:t>a link is maintained between the playground and the coastal foreshore.</w:t>
      </w:r>
    </w:p>
    <w:p w:rsidR="00132991" w:rsidRPr="002D7EFE" w:rsidRDefault="00132991" w:rsidP="00132991">
      <w:pPr>
        <w:pStyle w:val="ListParagraph"/>
        <w:tabs>
          <w:tab w:val="clear" w:pos="567"/>
        </w:tabs>
        <w:contextualSpacing w:val="0"/>
        <w:jc w:val="left"/>
      </w:pPr>
    </w:p>
    <w:p w:rsidR="001239CA" w:rsidRPr="002D7EFE" w:rsidRDefault="001239CA" w:rsidP="00E339BA">
      <w:pPr>
        <w:pStyle w:val="ListParagraph"/>
        <w:numPr>
          <w:ilvl w:val="0"/>
          <w:numId w:val="37"/>
        </w:numPr>
        <w:tabs>
          <w:tab w:val="clear" w:pos="567"/>
        </w:tabs>
        <w:contextualSpacing w:val="0"/>
        <w:jc w:val="left"/>
      </w:pPr>
      <w:r w:rsidRPr="002D7EFE">
        <w:lastRenderedPageBreak/>
        <w:t xml:space="preserve">The landscape plan for this park </w:t>
      </w:r>
      <w:r w:rsidR="00132991" w:rsidRPr="002D7EFE">
        <w:t>should</w:t>
      </w:r>
      <w:r w:rsidRPr="002D7EFE">
        <w:t xml:space="preserve"> maximise use of adjoining public land, as the land parcel (showing an area of 3500m</w:t>
      </w:r>
      <w:r w:rsidRPr="002D7EFE">
        <w:rPr>
          <w:vertAlign w:val="superscript"/>
        </w:rPr>
        <w:t>2</w:t>
      </w:r>
      <w:r w:rsidRPr="002D7EFE">
        <w:t>) is an awkward shape for a park.</w:t>
      </w:r>
    </w:p>
    <w:p w:rsidR="0040727A" w:rsidRPr="002D7EFE" w:rsidRDefault="0040727A" w:rsidP="0040727A">
      <w:pPr>
        <w:pStyle w:val="ListParagraph"/>
        <w:tabs>
          <w:tab w:val="clear" w:pos="567"/>
        </w:tabs>
        <w:contextualSpacing w:val="0"/>
        <w:jc w:val="left"/>
      </w:pPr>
    </w:p>
    <w:p w:rsidR="00610495" w:rsidRPr="006C10FD" w:rsidRDefault="00610495" w:rsidP="00610495">
      <w:pPr>
        <w:rPr>
          <w:i/>
          <w:u w:val="single"/>
        </w:rPr>
      </w:pPr>
      <w:bookmarkStart w:id="1" w:name="Body"/>
      <w:bookmarkEnd w:id="1"/>
      <w:r w:rsidRPr="002D7EFE">
        <w:rPr>
          <w:i/>
          <w:u w:val="single"/>
        </w:rPr>
        <w:t xml:space="preserve">Density of Casuarina Town </w:t>
      </w:r>
      <w:r w:rsidRPr="006C10FD">
        <w:rPr>
          <w:i/>
          <w:u w:val="single"/>
        </w:rPr>
        <w:t>Centre Development</w:t>
      </w:r>
    </w:p>
    <w:p w:rsidR="00610495" w:rsidRPr="00C27C1B" w:rsidRDefault="00610495" w:rsidP="00610495">
      <w:r w:rsidRPr="00C27C1B">
        <w:t xml:space="preserve">The proposed modification results in an amended allotment layout design as outlined under figures </w:t>
      </w:r>
      <w:r>
        <w:t>6-8</w:t>
      </w:r>
      <w:r w:rsidRPr="00C27C1B">
        <w:t xml:space="preserve"> above. It is noted that this amended layout will result in a reduction in density of development on site. The </w:t>
      </w:r>
      <w:r w:rsidR="009C2FD4">
        <w:t>Dwelling Density</w:t>
      </w:r>
      <w:r w:rsidRPr="00C27C1B">
        <w:t xml:space="preserve"> submitted as part of th</w:t>
      </w:r>
      <w:r w:rsidR="009C2FD4">
        <w:t>e RtS</w:t>
      </w:r>
      <w:r w:rsidRPr="00C27C1B">
        <w:t xml:space="preserve"> outlines the following with respect to this;</w:t>
      </w:r>
    </w:p>
    <w:p w:rsidR="00610495" w:rsidRPr="00C27C1B" w:rsidRDefault="00610495" w:rsidP="00610495"/>
    <w:p w:rsidR="00610495" w:rsidRPr="00C27C1B" w:rsidRDefault="009C2FD4" w:rsidP="009C2FD4">
      <w:r>
        <w:rPr>
          <w:i/>
          <w:noProof/>
          <w:lang w:eastAsia="en-AU"/>
        </w:rPr>
        <w:drawing>
          <wp:inline distT="0" distB="0" distL="0" distR="0" wp14:anchorId="2A844AC9" wp14:editId="3035CFC5">
            <wp:extent cx="6195407" cy="2155372"/>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195310" cy="2155338"/>
                    </a:xfrm>
                    <a:prstGeom prst="rect">
                      <a:avLst/>
                    </a:prstGeom>
                    <a:noFill/>
                    <a:ln>
                      <a:noFill/>
                    </a:ln>
                  </pic:spPr>
                </pic:pic>
              </a:graphicData>
            </a:graphic>
          </wp:inline>
        </w:drawing>
      </w:r>
    </w:p>
    <w:p w:rsidR="00610495" w:rsidRPr="00C27C1B" w:rsidRDefault="00610495" w:rsidP="00610495"/>
    <w:p w:rsidR="00610495" w:rsidRPr="004F2875" w:rsidRDefault="00610495" w:rsidP="00610495">
      <w:r w:rsidRPr="004F2875">
        <w:t>It is noted that under Modification 6 (</w:t>
      </w:r>
      <w:r w:rsidRPr="004F2875">
        <w:rPr>
          <w:bCs/>
          <w:lang w:eastAsia="en-AU"/>
        </w:rPr>
        <w:t>Approved 16 May 2014)</w:t>
      </w:r>
      <w:r w:rsidRPr="004F2875">
        <w:t xml:space="preserve"> a reduction in density was previously approved to the Casuarina Town Centre development on land to the south of </w:t>
      </w:r>
      <w:r w:rsidR="009C2FD4">
        <w:t>MOD 10 land</w:t>
      </w:r>
      <w:r w:rsidRPr="004F2875">
        <w:t>, where medium density allotments to provide for 208 units was changed to a 40 Torrens title allotment configuration.</w:t>
      </w:r>
    </w:p>
    <w:p w:rsidR="00610495" w:rsidRPr="004F2875" w:rsidRDefault="00610495" w:rsidP="00610495"/>
    <w:p w:rsidR="00610495" w:rsidRPr="004F2875" w:rsidRDefault="00610495" w:rsidP="00610495">
      <w:r w:rsidRPr="004F2875">
        <w:t>This application would further reduce the density of development to the overall Casuarina Town Centre.</w:t>
      </w:r>
    </w:p>
    <w:p w:rsidR="00610495" w:rsidRPr="004F2875" w:rsidRDefault="00610495" w:rsidP="00610495"/>
    <w:p w:rsidR="00610495" w:rsidRPr="004F2875" w:rsidRDefault="00610495" w:rsidP="00610495">
      <w:r w:rsidRPr="004F2875">
        <w:t>At the time of assessment of Mod 6, Council provided the following comments concerning the reduced density of the development over these allotments;</w:t>
      </w:r>
    </w:p>
    <w:p w:rsidR="00610495" w:rsidRPr="004F2875" w:rsidRDefault="00610495" w:rsidP="00610495"/>
    <w:p w:rsidR="00610495" w:rsidRPr="004F2875" w:rsidRDefault="00610495" w:rsidP="00610495">
      <w:pPr>
        <w:ind w:left="567"/>
        <w:rPr>
          <w:i/>
        </w:rPr>
      </w:pPr>
      <w:r w:rsidRPr="004F2875">
        <w:rPr>
          <w:i/>
        </w:rPr>
        <w:t xml:space="preserve">“In assessing the merits of the original proposal it was noted that a variety of low and medium density housing options was an element of the overall Casuarina Town Centre development which provided an environmental, social and economic benefit and resulted in the support of the development. Furthermore, it is considered that a town centre site should have a higher residential density in close proximity to services such as the proposed retail area in order to maintain the viability of such services. </w:t>
      </w:r>
    </w:p>
    <w:p w:rsidR="00610495" w:rsidRPr="004F2875" w:rsidRDefault="00610495" w:rsidP="00610495">
      <w:pPr>
        <w:ind w:left="567"/>
        <w:rPr>
          <w:i/>
        </w:rPr>
      </w:pPr>
    </w:p>
    <w:p w:rsidR="00610495" w:rsidRPr="004F2875" w:rsidRDefault="00610495" w:rsidP="00610495">
      <w:pPr>
        <w:ind w:left="567"/>
        <w:rPr>
          <w:i/>
        </w:rPr>
      </w:pPr>
      <w:r w:rsidRPr="004F2875">
        <w:rPr>
          <w:i/>
        </w:rPr>
        <w:t xml:space="preserve">Therefore, from Councils perspective it is considered necessary that any such amendment be suitably investigated from a holistic perspective regarding potential impacts on the Casuarina Town Centre Development. </w:t>
      </w:r>
    </w:p>
    <w:p w:rsidR="00610495" w:rsidRPr="004F2875" w:rsidRDefault="00610495" w:rsidP="00610495">
      <w:pPr>
        <w:ind w:left="567"/>
        <w:rPr>
          <w:i/>
        </w:rPr>
      </w:pPr>
    </w:p>
    <w:p w:rsidR="00610495" w:rsidRPr="004F2875" w:rsidRDefault="00610495" w:rsidP="00610495">
      <w:pPr>
        <w:ind w:left="567"/>
        <w:rPr>
          <w:i/>
        </w:rPr>
      </w:pPr>
      <w:r w:rsidRPr="004F2875">
        <w:rPr>
          <w:i/>
        </w:rPr>
        <w:t xml:space="preserve">It is not considered that adequate information has been provided in this regard to determine that the proposed amendment will not have a detrimental impact on the Casuarina Town Centre development as a whole. As such, a detailed assessment of the potential impacts arising from the proposed modification </w:t>
      </w:r>
      <w:r w:rsidRPr="004F2875">
        <w:rPr>
          <w:i/>
        </w:rPr>
        <w:lastRenderedPageBreak/>
        <w:t>should be provided in order to ascertain the impact of the modification with respect to this.”</w:t>
      </w:r>
    </w:p>
    <w:p w:rsidR="00610495" w:rsidRPr="004F2875" w:rsidRDefault="00610495" w:rsidP="00610495"/>
    <w:p w:rsidR="00610495" w:rsidRDefault="00610495" w:rsidP="00610495">
      <w:r w:rsidRPr="004F2875">
        <w:t>The modification application now submitted seeks to further reduce the density of development over th</w:t>
      </w:r>
      <w:r>
        <w:t>is area</w:t>
      </w:r>
      <w:r w:rsidRPr="004F2875">
        <w:t xml:space="preserve"> by an additional </w:t>
      </w:r>
      <w:r w:rsidR="009C2FD4">
        <w:t>226</w:t>
      </w:r>
      <w:r w:rsidRPr="004F2875">
        <w:t xml:space="preserve"> dwellings.</w:t>
      </w:r>
      <w:r>
        <w:t xml:space="preserve"> Tweed Shire Council would again request that Department of Planning &amp; Environment asses this as a reduction to the density of the overall Casuarina Town Centre development and consider its suitability from </w:t>
      </w:r>
      <w:r w:rsidRPr="004F2875">
        <w:t>a</w:t>
      </w:r>
      <w:r>
        <w:t>n</w:t>
      </w:r>
      <w:r w:rsidRPr="004F2875">
        <w:t xml:space="preserve"> holistic perspective regarding potential impacts on the Casuarina Town Centre Development. </w:t>
      </w:r>
    </w:p>
    <w:p w:rsidR="00610495" w:rsidRDefault="00610495" w:rsidP="00610495"/>
    <w:p w:rsidR="00610495" w:rsidRDefault="00610495" w:rsidP="00610495">
      <w:r>
        <w:t>It is further noted that under Tweed Local Environmental Plan 2014, a large portion of land to which this application relates is zoned B2 Local Centre and R3 Medium Density Residential uses where a greater residential density would ordinarily be provided.</w:t>
      </w:r>
    </w:p>
    <w:p w:rsidR="00610495" w:rsidRDefault="00610495" w:rsidP="00610495"/>
    <w:p w:rsidR="00610495" w:rsidRPr="006C10FD" w:rsidRDefault="00610495" w:rsidP="00610495">
      <w:pPr>
        <w:tabs>
          <w:tab w:val="left" w:pos="5103"/>
          <w:tab w:val="left" w:pos="5670"/>
          <w:tab w:val="left" w:pos="6237"/>
        </w:tabs>
        <w:rPr>
          <w:b/>
          <w:i/>
          <w:u w:val="single"/>
        </w:rPr>
      </w:pPr>
      <w:r w:rsidRPr="006C10FD">
        <w:rPr>
          <w:b/>
          <w:i/>
          <w:u w:val="single"/>
        </w:rPr>
        <w:t>Modification of the built form to increase the height of buildings permitted along Grand Parade</w:t>
      </w:r>
    </w:p>
    <w:p w:rsidR="00610495" w:rsidRDefault="00610495" w:rsidP="00610495"/>
    <w:p w:rsidR="00610495" w:rsidRDefault="00610495" w:rsidP="00610495">
      <w:r w:rsidRPr="00BC1312">
        <w:t>The submitted application advises that the concept plan has been designed in order to create a gradual increase in density from the surrounding existing residential uses to the town centre. A concept drawing of this has been reproduced under figure 1</w:t>
      </w:r>
      <w:r w:rsidR="002229A0">
        <w:t>4</w:t>
      </w:r>
      <w:r w:rsidRPr="00BC1312">
        <w:t xml:space="preserve"> below;</w:t>
      </w:r>
    </w:p>
    <w:tbl>
      <w:tblPr>
        <w:tblStyle w:val="ATSCStandardGrey"/>
        <w:tblW w:w="0" w:type="auto"/>
        <w:tblLook w:val="04A0" w:firstRow="1" w:lastRow="0" w:firstColumn="1" w:lastColumn="0" w:noHBand="0" w:noVBand="1"/>
      </w:tblPr>
      <w:tblGrid>
        <w:gridCol w:w="4653"/>
        <w:gridCol w:w="4589"/>
      </w:tblGrid>
      <w:tr w:rsidR="00BC1312" w:rsidTr="00B813F3">
        <w:trPr>
          <w:cnfStyle w:val="100000000000" w:firstRow="1" w:lastRow="0" w:firstColumn="0" w:lastColumn="0" w:oddVBand="0" w:evenVBand="0" w:oddHBand="0" w:evenHBand="0" w:firstRowFirstColumn="0" w:firstRowLastColumn="0" w:lastRowFirstColumn="0" w:lastRowLastColumn="0"/>
        </w:trPr>
        <w:tc>
          <w:tcPr>
            <w:tcW w:w="4653" w:type="dxa"/>
          </w:tcPr>
          <w:p w:rsidR="00BC1312" w:rsidRDefault="00BC1312" w:rsidP="00610495">
            <w:r w:rsidRPr="002E638E">
              <w:rPr>
                <w:noProof/>
                <w:color w:val="004F5A" w:themeColor="text1"/>
                <w:highlight w:val="yellow"/>
                <w:lang w:eastAsia="en-AU"/>
              </w:rPr>
              <w:drawing>
                <wp:inline distT="0" distB="0" distL="0" distR="0" wp14:anchorId="18498374" wp14:editId="5744B276">
                  <wp:extent cx="2840477" cy="2265634"/>
                  <wp:effectExtent l="0" t="0" r="0" b="1905"/>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40477" cy="2265634"/>
                          </a:xfrm>
                          <a:prstGeom prst="rect">
                            <a:avLst/>
                          </a:prstGeom>
                          <a:noFill/>
                          <a:ln>
                            <a:noFill/>
                          </a:ln>
                        </pic:spPr>
                      </pic:pic>
                    </a:graphicData>
                  </a:graphic>
                </wp:inline>
              </w:drawing>
            </w:r>
          </w:p>
        </w:tc>
        <w:tc>
          <w:tcPr>
            <w:tcW w:w="4589" w:type="dxa"/>
          </w:tcPr>
          <w:p w:rsidR="00BC1312" w:rsidRDefault="00B813F3" w:rsidP="00610495">
            <w:r>
              <w:rPr>
                <w:b w:val="0"/>
              </w:rPr>
              <w:object w:dxaOrig="13650" w:dyaOrig="110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0.5pt;height:177.75pt" o:ole="">
                  <v:imagedata r:id="rId30" o:title=""/>
                </v:shape>
                <o:OLEObject Type="Embed" ProgID="PBrush" ShapeID="_x0000_i1025" DrawAspect="Content" ObjectID="_1573479276" r:id="rId31"/>
              </w:object>
            </w:r>
          </w:p>
        </w:tc>
      </w:tr>
    </w:tbl>
    <w:p w:rsidR="00610495" w:rsidRPr="00BC1312" w:rsidRDefault="002229A0" w:rsidP="00610495">
      <w:pPr>
        <w:tabs>
          <w:tab w:val="left" w:pos="5103"/>
          <w:tab w:val="left" w:pos="5670"/>
          <w:tab w:val="left" w:pos="6237"/>
        </w:tabs>
        <w:jc w:val="center"/>
        <w:rPr>
          <w:b/>
        </w:rPr>
      </w:pPr>
      <w:r>
        <w:rPr>
          <w:b/>
          <w:sz w:val="20"/>
        </w:rPr>
        <w:t>Figure 14</w:t>
      </w:r>
      <w:r w:rsidR="00610495" w:rsidRPr="00BC1312">
        <w:rPr>
          <w:b/>
          <w:sz w:val="20"/>
        </w:rPr>
        <w:t>: Concept Imagery</w:t>
      </w:r>
    </w:p>
    <w:p w:rsidR="00610495" w:rsidRPr="002E638E" w:rsidRDefault="00610495" w:rsidP="00610495">
      <w:pPr>
        <w:rPr>
          <w:highlight w:val="yellow"/>
        </w:rPr>
      </w:pPr>
    </w:p>
    <w:p w:rsidR="00610495" w:rsidRPr="002E638E" w:rsidRDefault="00610495" w:rsidP="00610495">
      <w:pPr>
        <w:rPr>
          <w:highlight w:val="yellow"/>
          <w:lang w:eastAsia="en-AU"/>
        </w:rPr>
      </w:pPr>
      <w:r w:rsidRPr="00B813F3">
        <w:t>It is further noted that t</w:t>
      </w:r>
      <w:r w:rsidRPr="00B813F3">
        <w:rPr>
          <w:lang w:eastAsia="en-AU"/>
        </w:rPr>
        <w:t>he modified master plan encompasses two four storey apartment sites to the western end of Grand Parade</w:t>
      </w:r>
      <w:r w:rsidR="00B813F3" w:rsidRPr="00B813F3">
        <w:rPr>
          <w:lang w:eastAsia="en-AU"/>
        </w:rPr>
        <w:t xml:space="preserve"> and one to the north of Grand Parade</w:t>
      </w:r>
      <w:r w:rsidRPr="00B813F3">
        <w:rPr>
          <w:lang w:eastAsia="en-AU"/>
        </w:rPr>
        <w:t xml:space="preserve">. Grand Parade is stated as being lined with three and four storey mixed use retail (ground floor) and residential units (levels 2 &amp; 3). </w:t>
      </w:r>
      <w:r w:rsidRPr="00BC1312">
        <w:rPr>
          <w:lang w:eastAsia="en-AU"/>
        </w:rPr>
        <w:t>The submitted application advises that the proposed building height accords with the 13.6m building height limit prescribed within the Tweed Local Environmental Plan 2014.</w:t>
      </w:r>
    </w:p>
    <w:p w:rsidR="00610495" w:rsidRPr="002E638E" w:rsidRDefault="00610495" w:rsidP="00610495">
      <w:pPr>
        <w:rPr>
          <w:highlight w:val="yellow"/>
        </w:rPr>
      </w:pPr>
    </w:p>
    <w:p w:rsidR="00610495" w:rsidRPr="00BC1312" w:rsidRDefault="00610495" w:rsidP="00610495">
      <w:r w:rsidRPr="00BC1312">
        <w:t xml:space="preserve">The Grand Parade sheet contained within the </w:t>
      </w:r>
      <w:r w:rsidR="00BC1312" w:rsidRPr="00BC1312">
        <w:t>Casuarina Beach Town Centre Vision &amp; Landscape Document</w:t>
      </w:r>
      <w:r w:rsidRPr="00BC1312">
        <w:t xml:space="preserve"> prepared by RPS (Page 4 of </w:t>
      </w:r>
      <w:r w:rsidR="00BC1312" w:rsidRPr="00BC1312">
        <w:t>9</w:t>
      </w:r>
      <w:r w:rsidRPr="00BC1312">
        <w:t xml:space="preserve">) indicates that there would be Ground Level Mixed Use development such as shop top housing and SOHO type units proposed as part of this modification. </w:t>
      </w:r>
    </w:p>
    <w:p w:rsidR="00610495" w:rsidRPr="002E638E" w:rsidRDefault="00610495" w:rsidP="00610495">
      <w:pPr>
        <w:rPr>
          <w:highlight w:val="yellow"/>
        </w:rPr>
      </w:pPr>
    </w:p>
    <w:p w:rsidR="00B813F3" w:rsidRDefault="00B813F3" w:rsidP="00610495">
      <w:r>
        <w:lastRenderedPageBreak/>
        <w:t xml:space="preserve">Previously, Council provided comment requesting that </w:t>
      </w:r>
      <w:r w:rsidRPr="00B813F3">
        <w:t>the land use definition of any such SOHO units be provided in order to determine whether this would entail a commercial use or a home office area which would be ancillary to a residential unit on site.</w:t>
      </w:r>
    </w:p>
    <w:p w:rsidR="00B813F3" w:rsidRDefault="00B813F3" w:rsidP="00610495"/>
    <w:p w:rsidR="00B813F3" w:rsidRDefault="00610495" w:rsidP="00610495">
      <w:r w:rsidRPr="00BC1312">
        <w:t>Council would be supportive of the area being utilised for commercial and mixed use type development, consistent with the current zoning over the land under the Tweed Local Environmental Plan 2014 (B2 Local Centre)</w:t>
      </w:r>
      <w:r w:rsidR="00B813F3">
        <w:t xml:space="preserve">. </w:t>
      </w:r>
    </w:p>
    <w:p w:rsidR="00B813F3" w:rsidRDefault="00B813F3" w:rsidP="00610495"/>
    <w:p w:rsidR="00610495" w:rsidRPr="002E638E" w:rsidRDefault="00610495" w:rsidP="00610495">
      <w:r w:rsidRPr="002E638E">
        <w:t>Council officers raise no objection to the proposed modified building heights. In this regard it is noted that this area was previously subject to a three storey building height control under Tweed Local Environment Plan 2000, however the current Council controls under Tweed Local Environmental Plan 2014, a building height of 13.6m is identified for this site, which the applicant states will be complied with.</w:t>
      </w:r>
    </w:p>
    <w:p w:rsidR="00610495" w:rsidRPr="002E638E" w:rsidRDefault="00610495" w:rsidP="00610495">
      <w:pPr>
        <w:rPr>
          <w:highlight w:val="yellow"/>
        </w:rPr>
      </w:pPr>
    </w:p>
    <w:p w:rsidR="00610495" w:rsidRDefault="00610495" w:rsidP="00610495">
      <w:r w:rsidRPr="00BC1312">
        <w:t>With respect to the built form gradual increase in height, please see comments above relating to the density being achieved across the Casuarina Town Centre development.</w:t>
      </w:r>
    </w:p>
    <w:p w:rsidR="00610495" w:rsidRDefault="00610495" w:rsidP="00610495"/>
    <w:p w:rsidR="00610495" w:rsidRPr="006C10FD" w:rsidRDefault="00610495" w:rsidP="00610495">
      <w:pPr>
        <w:tabs>
          <w:tab w:val="left" w:pos="5103"/>
          <w:tab w:val="left" w:pos="5670"/>
          <w:tab w:val="left" w:pos="6237"/>
        </w:tabs>
        <w:rPr>
          <w:b/>
          <w:i/>
          <w:highlight w:val="green"/>
          <w:u w:val="single"/>
        </w:rPr>
      </w:pPr>
      <w:r w:rsidRPr="006C10FD">
        <w:rPr>
          <w:b/>
          <w:i/>
          <w:u w:val="single"/>
        </w:rPr>
        <w:t>Deletion of the approved hotel use</w:t>
      </w:r>
    </w:p>
    <w:p w:rsidR="00EC3ED5" w:rsidRDefault="00EC3ED5" w:rsidP="00610495"/>
    <w:p w:rsidR="00610495" w:rsidRPr="00EC3ED5" w:rsidRDefault="00610495" w:rsidP="00610495">
      <w:r>
        <w:t xml:space="preserve">A tourist hotel was approved as part of the original Casuarina Town Centre development. As part of this S75W modification application, it is proposed to delete </w:t>
      </w:r>
      <w:r w:rsidRPr="00EC3ED5">
        <w:t>this use ‘</w:t>
      </w:r>
      <w:r w:rsidRPr="00EC3ED5">
        <w:rPr>
          <w:i/>
        </w:rPr>
        <w:t>due to the development not being deemed economically feasible having regard to existing tourist development within the immediate locality.</w:t>
      </w:r>
      <w:r w:rsidRPr="00EC3ED5">
        <w:t>’</w:t>
      </w:r>
    </w:p>
    <w:p w:rsidR="00610495" w:rsidRPr="00EC3ED5" w:rsidRDefault="00610495" w:rsidP="00610495"/>
    <w:p w:rsidR="00610495" w:rsidRDefault="00610495" w:rsidP="00610495">
      <w:r>
        <w:t>Tweed Shire Council does not have any specific comments with respect to the deletion of this use, however the Department of Planning and Environment is requested to determine any impacts associated with same as part of its assessment of the modification.</w:t>
      </w:r>
    </w:p>
    <w:p w:rsidR="00610495" w:rsidRDefault="00610495" w:rsidP="00610495"/>
    <w:p w:rsidR="00610495" w:rsidRPr="00710AE5" w:rsidRDefault="00610495" w:rsidP="00610495">
      <w:pPr>
        <w:tabs>
          <w:tab w:val="left" w:pos="5103"/>
          <w:tab w:val="left" w:pos="5670"/>
          <w:tab w:val="left" w:pos="6237"/>
        </w:tabs>
        <w:rPr>
          <w:b/>
          <w:i/>
          <w:u w:val="single"/>
        </w:rPr>
      </w:pPr>
      <w:r w:rsidRPr="00710AE5">
        <w:rPr>
          <w:b/>
          <w:i/>
          <w:u w:val="single"/>
        </w:rPr>
        <w:t>Revisions to the drainage concept to facilitate the filling of the existing drainage swale and the conversion of the swale to a 'green buffer'</w:t>
      </w:r>
    </w:p>
    <w:p w:rsidR="00610495" w:rsidRDefault="00610495" w:rsidP="00610495"/>
    <w:p w:rsidR="00E62D3D" w:rsidRPr="00E62D3D" w:rsidRDefault="00E62D3D" w:rsidP="00610495">
      <w:pPr>
        <w:rPr>
          <w:u w:val="single"/>
        </w:rPr>
      </w:pPr>
      <w:r w:rsidRPr="00E62D3D">
        <w:rPr>
          <w:u w:val="single"/>
        </w:rPr>
        <w:t>Background</w:t>
      </w:r>
    </w:p>
    <w:p w:rsidR="00610495" w:rsidRPr="00E62D3D" w:rsidRDefault="00610495" w:rsidP="00610495">
      <w:r w:rsidRPr="00E62D3D">
        <w:t>There is currently a 36m swale located to the north site boundary, approved under the original approval. Modification 1 raised the proposal to pipe the swale and reduce the width of drainage land to accommodate it. Under this Modification the Department issued an approval that set various design criteria around the sizing of the piped system to ensure equivalency of performance in extreme storm events, requirements to offset lost infiltration capacity, and requirement that a 20m wide drainage reserve be created over the drainage infrastructure along the northern boundary, thereby preserving a buffer function and continuity for a cycleway between the sports fields to the coastline cycleway.</w:t>
      </w:r>
    </w:p>
    <w:p w:rsidR="00610495" w:rsidRPr="00E62D3D" w:rsidRDefault="00610495" w:rsidP="00610495"/>
    <w:p w:rsidR="00610495" w:rsidRPr="00E62D3D" w:rsidRDefault="00610495" w:rsidP="00610495">
      <w:r w:rsidRPr="00E62D3D">
        <w:t>In granting owner's consent for works to be carried out in this area, Council agreed to relinquish the 36m wide easement in return for the dedication of the 20m wide drainage reserve. To date these works and dedication have not taken place. The previously approved 20m easement is demonstrated in figure 1</w:t>
      </w:r>
      <w:r w:rsidR="002229A0">
        <w:t>5</w:t>
      </w:r>
      <w:r w:rsidRPr="00E62D3D">
        <w:t xml:space="preserve"> below;</w:t>
      </w:r>
    </w:p>
    <w:p w:rsidR="00610495" w:rsidRPr="00E62D3D" w:rsidRDefault="00610495" w:rsidP="00610495"/>
    <w:p w:rsidR="00610495" w:rsidRPr="00E62D3D" w:rsidRDefault="00610495" w:rsidP="00610495">
      <w:pPr>
        <w:jc w:val="center"/>
        <w:rPr>
          <w:highlight w:val="cyan"/>
        </w:rPr>
      </w:pPr>
      <w:r w:rsidRPr="00E62D3D">
        <w:rPr>
          <w:noProof/>
          <w:highlight w:val="cyan"/>
          <w:lang w:eastAsia="en-AU"/>
        </w:rPr>
        <w:lastRenderedPageBreak/>
        <w:drawing>
          <wp:inline distT="0" distB="0" distL="0" distR="0" wp14:anchorId="06B07D63" wp14:editId="3BC6F597">
            <wp:extent cx="6058670" cy="2338252"/>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6074679" cy="2344430"/>
                    </a:xfrm>
                    <a:prstGeom prst="rect">
                      <a:avLst/>
                    </a:prstGeom>
                  </pic:spPr>
                </pic:pic>
              </a:graphicData>
            </a:graphic>
          </wp:inline>
        </w:drawing>
      </w:r>
    </w:p>
    <w:p w:rsidR="00610495" w:rsidRPr="00E62D3D" w:rsidRDefault="00610495" w:rsidP="00610495">
      <w:pPr>
        <w:tabs>
          <w:tab w:val="left" w:pos="5103"/>
          <w:tab w:val="left" w:pos="5670"/>
          <w:tab w:val="left" w:pos="6237"/>
        </w:tabs>
        <w:jc w:val="center"/>
        <w:rPr>
          <w:b/>
        </w:rPr>
      </w:pPr>
      <w:r w:rsidRPr="00E62D3D">
        <w:rPr>
          <w:b/>
          <w:sz w:val="20"/>
        </w:rPr>
        <w:t>Figure 1</w:t>
      </w:r>
      <w:r w:rsidR="002229A0">
        <w:rPr>
          <w:b/>
          <w:sz w:val="20"/>
        </w:rPr>
        <w:t>5</w:t>
      </w:r>
      <w:r w:rsidRPr="00E62D3D">
        <w:rPr>
          <w:b/>
          <w:sz w:val="20"/>
        </w:rPr>
        <w:t xml:space="preserve">: Approved Easement </w:t>
      </w:r>
    </w:p>
    <w:p w:rsidR="00610495" w:rsidRDefault="00610495" w:rsidP="00610495">
      <w:pPr>
        <w:tabs>
          <w:tab w:val="left" w:pos="5103"/>
          <w:tab w:val="left" w:pos="5670"/>
          <w:tab w:val="left" w:pos="6237"/>
        </w:tabs>
        <w:jc w:val="center"/>
      </w:pPr>
    </w:p>
    <w:p w:rsidR="00E62D3D" w:rsidRPr="00E14CFE" w:rsidRDefault="00E62D3D" w:rsidP="00610495">
      <w:pPr>
        <w:rPr>
          <w:szCs w:val="21"/>
          <w:u w:val="single"/>
          <w:lang w:eastAsia="en-AU"/>
        </w:rPr>
      </w:pPr>
      <w:r w:rsidRPr="00E14CFE">
        <w:rPr>
          <w:szCs w:val="21"/>
          <w:u w:val="single"/>
          <w:lang w:eastAsia="en-AU"/>
        </w:rPr>
        <w:t xml:space="preserve">MOD 10 as Originally </w:t>
      </w:r>
      <w:r w:rsidR="00E14CFE" w:rsidRPr="00E14CFE">
        <w:rPr>
          <w:szCs w:val="21"/>
          <w:u w:val="single"/>
          <w:lang w:eastAsia="en-AU"/>
        </w:rPr>
        <w:t>Submitted</w:t>
      </w:r>
      <w:r w:rsidRPr="00E14CFE">
        <w:rPr>
          <w:szCs w:val="21"/>
          <w:u w:val="single"/>
          <w:lang w:eastAsia="en-AU"/>
        </w:rPr>
        <w:t xml:space="preserve"> (2016)</w:t>
      </w:r>
    </w:p>
    <w:p w:rsidR="00E14CFE" w:rsidRDefault="00E14CFE" w:rsidP="00610495">
      <w:pPr>
        <w:rPr>
          <w:szCs w:val="21"/>
          <w:lang w:eastAsia="en-AU"/>
        </w:rPr>
      </w:pPr>
    </w:p>
    <w:p w:rsidR="00610495" w:rsidRPr="00E14CFE" w:rsidRDefault="00610495" w:rsidP="00610495">
      <w:pPr>
        <w:rPr>
          <w:szCs w:val="21"/>
          <w:lang w:eastAsia="en-AU"/>
        </w:rPr>
      </w:pPr>
      <w:r w:rsidRPr="00E14CFE">
        <w:rPr>
          <w:szCs w:val="21"/>
          <w:lang w:eastAsia="en-AU"/>
        </w:rPr>
        <w:t>The submitted application outline</w:t>
      </w:r>
      <w:r w:rsidR="00E14CFE" w:rsidRPr="00E14CFE">
        <w:rPr>
          <w:szCs w:val="21"/>
          <w:lang w:eastAsia="en-AU"/>
        </w:rPr>
        <w:t>d</w:t>
      </w:r>
      <w:r w:rsidRPr="00E14CFE">
        <w:rPr>
          <w:szCs w:val="21"/>
          <w:lang w:eastAsia="en-AU"/>
        </w:rPr>
        <w:t xml:space="preserve"> that the purpose of the swale was twofold, firstly to provide for stormwater management within Casuarina, and secondly to address the proposed land use interface with the adjoining northern residential dwellings.</w:t>
      </w:r>
    </w:p>
    <w:p w:rsidR="00610495" w:rsidRPr="00E14CFE" w:rsidRDefault="00610495" w:rsidP="00610495">
      <w:pPr>
        <w:rPr>
          <w:szCs w:val="21"/>
          <w:highlight w:val="yellow"/>
          <w:lang w:eastAsia="en-AU"/>
        </w:rPr>
      </w:pPr>
    </w:p>
    <w:p w:rsidR="00610495" w:rsidRPr="00E14CFE" w:rsidRDefault="00610495" w:rsidP="00610495">
      <w:pPr>
        <w:rPr>
          <w:szCs w:val="21"/>
          <w:lang w:eastAsia="en-AU"/>
        </w:rPr>
      </w:pPr>
      <w:r w:rsidRPr="00E14CFE">
        <w:rPr>
          <w:szCs w:val="21"/>
          <w:lang w:eastAsia="en-AU"/>
        </w:rPr>
        <w:t xml:space="preserve">Beyond this it </w:t>
      </w:r>
      <w:r w:rsidR="00E14CFE" w:rsidRPr="00E14CFE">
        <w:rPr>
          <w:szCs w:val="21"/>
          <w:lang w:eastAsia="en-AU"/>
        </w:rPr>
        <w:t>was</w:t>
      </w:r>
      <w:r w:rsidRPr="00E14CFE">
        <w:rPr>
          <w:szCs w:val="21"/>
          <w:lang w:eastAsia="en-AU"/>
        </w:rPr>
        <w:t xml:space="preserve"> also noted that this easement is benefitted to Tweed Shire Council, and as such an application to extinguish same would need to be approved by Council.</w:t>
      </w:r>
    </w:p>
    <w:p w:rsidR="00610495" w:rsidRPr="00E14CFE" w:rsidRDefault="00610495" w:rsidP="00610495">
      <w:pPr>
        <w:rPr>
          <w:szCs w:val="21"/>
          <w:lang w:eastAsia="en-AU"/>
        </w:rPr>
      </w:pPr>
    </w:p>
    <w:p w:rsidR="00610495" w:rsidRPr="00E14CFE" w:rsidRDefault="00610495" w:rsidP="00610495">
      <w:pPr>
        <w:rPr>
          <w:szCs w:val="21"/>
          <w:lang w:eastAsia="en-AU"/>
        </w:rPr>
      </w:pPr>
      <w:r w:rsidRPr="00E14CFE">
        <w:rPr>
          <w:szCs w:val="21"/>
          <w:lang w:eastAsia="en-AU"/>
        </w:rPr>
        <w:t xml:space="preserve">It </w:t>
      </w:r>
      <w:r w:rsidR="00E14CFE" w:rsidRPr="00E14CFE">
        <w:rPr>
          <w:szCs w:val="21"/>
          <w:lang w:eastAsia="en-AU"/>
        </w:rPr>
        <w:t xml:space="preserve">was </w:t>
      </w:r>
      <w:r w:rsidRPr="00E14CFE">
        <w:rPr>
          <w:szCs w:val="21"/>
          <w:lang w:eastAsia="en-AU"/>
        </w:rPr>
        <w:t>proposed to locate a road within this 20m dedication, resulting in a reduced 8m wi</w:t>
      </w:r>
      <w:r w:rsidR="00E14CFE" w:rsidRPr="00E14CFE">
        <w:rPr>
          <w:szCs w:val="21"/>
          <w:lang w:eastAsia="en-AU"/>
        </w:rPr>
        <w:t>de buffer, as identified in</w:t>
      </w:r>
      <w:r w:rsidRPr="00E14CFE">
        <w:rPr>
          <w:szCs w:val="21"/>
          <w:lang w:eastAsia="en-AU"/>
        </w:rPr>
        <w:t xml:space="preserve"> and figures 1</w:t>
      </w:r>
      <w:r w:rsidR="002229A0">
        <w:rPr>
          <w:szCs w:val="21"/>
          <w:lang w:eastAsia="en-AU"/>
        </w:rPr>
        <w:t>6</w:t>
      </w:r>
      <w:r w:rsidRPr="00E14CFE">
        <w:rPr>
          <w:szCs w:val="21"/>
          <w:lang w:eastAsia="en-AU"/>
        </w:rPr>
        <w:t xml:space="preserve"> and 1</w:t>
      </w:r>
      <w:r w:rsidR="002229A0">
        <w:rPr>
          <w:szCs w:val="21"/>
          <w:lang w:eastAsia="en-AU"/>
        </w:rPr>
        <w:t>7</w:t>
      </w:r>
      <w:r w:rsidRPr="00E14CFE">
        <w:rPr>
          <w:szCs w:val="21"/>
          <w:lang w:eastAsia="en-AU"/>
        </w:rPr>
        <w:t xml:space="preserve"> below;</w:t>
      </w:r>
    </w:p>
    <w:p w:rsidR="00610495" w:rsidRPr="004D0D58" w:rsidRDefault="00610495" w:rsidP="00610495">
      <w:pPr>
        <w:rPr>
          <w:color w:val="51691A" w:themeColor="accent1" w:themeShade="BF"/>
          <w:szCs w:val="21"/>
          <w:lang w:eastAsia="en-AU"/>
        </w:rPr>
      </w:pPr>
    </w:p>
    <w:p w:rsidR="00610495" w:rsidRPr="004D0D58" w:rsidRDefault="00610495" w:rsidP="00610495">
      <w:pPr>
        <w:jc w:val="center"/>
        <w:rPr>
          <w:color w:val="51691A" w:themeColor="accent1" w:themeShade="BF"/>
          <w:szCs w:val="21"/>
          <w:highlight w:val="yellow"/>
          <w:lang w:eastAsia="en-AU"/>
        </w:rPr>
      </w:pPr>
      <w:r w:rsidRPr="004D0D58">
        <w:rPr>
          <w:noProof/>
          <w:color w:val="51691A" w:themeColor="accent1" w:themeShade="BF"/>
          <w:szCs w:val="21"/>
          <w:lang w:eastAsia="en-AU"/>
        </w:rPr>
        <w:drawing>
          <wp:inline distT="0" distB="0" distL="0" distR="0" wp14:anchorId="1394062E" wp14:editId="30BDC178">
            <wp:extent cx="4061158" cy="3501427"/>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069753" cy="3508838"/>
                    </a:xfrm>
                    <a:prstGeom prst="rect">
                      <a:avLst/>
                    </a:prstGeom>
                    <a:noFill/>
                    <a:ln>
                      <a:noFill/>
                    </a:ln>
                  </pic:spPr>
                </pic:pic>
              </a:graphicData>
            </a:graphic>
          </wp:inline>
        </w:drawing>
      </w:r>
    </w:p>
    <w:p w:rsidR="00610495" w:rsidRPr="00E14CFE" w:rsidRDefault="00610495" w:rsidP="00610495">
      <w:pPr>
        <w:tabs>
          <w:tab w:val="left" w:pos="5103"/>
          <w:tab w:val="left" w:pos="5670"/>
          <w:tab w:val="left" w:pos="6237"/>
        </w:tabs>
        <w:jc w:val="center"/>
        <w:rPr>
          <w:b/>
        </w:rPr>
      </w:pPr>
      <w:r w:rsidRPr="00E14CFE">
        <w:rPr>
          <w:b/>
          <w:sz w:val="20"/>
        </w:rPr>
        <w:t>Figure 1</w:t>
      </w:r>
      <w:r w:rsidR="002229A0">
        <w:rPr>
          <w:b/>
          <w:sz w:val="20"/>
        </w:rPr>
        <w:t>6</w:t>
      </w:r>
      <w:r w:rsidRPr="00E14CFE">
        <w:rPr>
          <w:b/>
          <w:sz w:val="20"/>
        </w:rPr>
        <w:t xml:space="preserve">: North Boundary Treatment with road </w:t>
      </w:r>
    </w:p>
    <w:p w:rsidR="00610495" w:rsidRPr="004D0D58" w:rsidRDefault="00610495" w:rsidP="00610495">
      <w:pPr>
        <w:rPr>
          <w:color w:val="51691A" w:themeColor="accent1" w:themeShade="BF"/>
          <w:szCs w:val="21"/>
          <w:highlight w:val="yellow"/>
          <w:lang w:eastAsia="en-AU"/>
        </w:rPr>
      </w:pPr>
    </w:p>
    <w:p w:rsidR="00610495" w:rsidRPr="004D0D58" w:rsidRDefault="00610495" w:rsidP="00610495">
      <w:pPr>
        <w:jc w:val="center"/>
        <w:rPr>
          <w:color w:val="51691A" w:themeColor="accent1" w:themeShade="BF"/>
          <w:szCs w:val="21"/>
          <w:lang w:eastAsia="en-AU"/>
        </w:rPr>
      </w:pPr>
      <w:r w:rsidRPr="004D0D58">
        <w:rPr>
          <w:i/>
          <w:noProof/>
          <w:color w:val="51691A" w:themeColor="accent1" w:themeShade="BF"/>
          <w:szCs w:val="21"/>
          <w:lang w:eastAsia="en-AU"/>
        </w:rPr>
        <w:lastRenderedPageBreak/>
        <w:drawing>
          <wp:inline distT="0" distB="0" distL="0" distR="0" wp14:anchorId="12CFB99D" wp14:editId="461076EE">
            <wp:extent cx="5629733" cy="32194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29733" cy="3219450"/>
                    </a:xfrm>
                    <a:prstGeom prst="rect">
                      <a:avLst/>
                    </a:prstGeom>
                    <a:noFill/>
                    <a:ln>
                      <a:noFill/>
                    </a:ln>
                  </pic:spPr>
                </pic:pic>
              </a:graphicData>
            </a:graphic>
          </wp:inline>
        </w:drawing>
      </w:r>
    </w:p>
    <w:p w:rsidR="00610495" w:rsidRPr="00E14CFE" w:rsidRDefault="00610495" w:rsidP="00610495">
      <w:pPr>
        <w:tabs>
          <w:tab w:val="left" w:pos="5103"/>
          <w:tab w:val="left" w:pos="5670"/>
          <w:tab w:val="left" w:pos="6237"/>
        </w:tabs>
        <w:jc w:val="center"/>
        <w:rPr>
          <w:b/>
        </w:rPr>
      </w:pPr>
      <w:r w:rsidRPr="00E14CFE">
        <w:rPr>
          <w:b/>
          <w:sz w:val="20"/>
        </w:rPr>
        <w:t>Figure 1</w:t>
      </w:r>
      <w:r w:rsidR="002229A0">
        <w:rPr>
          <w:b/>
          <w:sz w:val="20"/>
        </w:rPr>
        <w:t>7</w:t>
      </w:r>
      <w:r w:rsidRPr="00E14CFE">
        <w:rPr>
          <w:b/>
          <w:sz w:val="20"/>
        </w:rPr>
        <w:t xml:space="preserve">: Concept drawing of proposed 8m wide buffer </w:t>
      </w:r>
    </w:p>
    <w:p w:rsidR="00610495" w:rsidRPr="004D0D58" w:rsidRDefault="00610495" w:rsidP="00610495">
      <w:pPr>
        <w:rPr>
          <w:color w:val="51691A" w:themeColor="accent1" w:themeShade="BF"/>
          <w:szCs w:val="21"/>
          <w:lang w:eastAsia="en-AU"/>
        </w:rPr>
      </w:pPr>
    </w:p>
    <w:p w:rsidR="00E14CFE" w:rsidRDefault="00E14CFE" w:rsidP="00610495">
      <w:pPr>
        <w:rPr>
          <w:color w:val="51691A" w:themeColor="accent1" w:themeShade="BF"/>
          <w:szCs w:val="21"/>
          <w:lang w:eastAsia="en-AU"/>
        </w:rPr>
      </w:pPr>
    </w:p>
    <w:p w:rsidR="00E14CFE" w:rsidRPr="00E14CFE" w:rsidRDefault="00E14CFE" w:rsidP="00E14CFE">
      <w:pPr>
        <w:rPr>
          <w:szCs w:val="21"/>
          <w:lang w:eastAsia="en-AU"/>
        </w:rPr>
      </w:pPr>
      <w:r w:rsidRPr="00E14CFE">
        <w:rPr>
          <w:szCs w:val="21"/>
          <w:lang w:eastAsia="en-AU"/>
        </w:rPr>
        <w:t>Objections were raised to this element of MOD 10 by both Council officer and members of the public. Council officer concerns related to insufficient detail being provided to demonstrate that the stormwater measures would be adequate and inadequate justification for the reduction of the green buffer. Of relevance, Council submission to NSW Planning included the following;</w:t>
      </w:r>
    </w:p>
    <w:p w:rsidR="00E14CFE" w:rsidRPr="00E14CFE" w:rsidRDefault="00E14CFE" w:rsidP="00610495">
      <w:pPr>
        <w:rPr>
          <w:szCs w:val="21"/>
          <w:lang w:eastAsia="en-AU"/>
        </w:rPr>
      </w:pPr>
    </w:p>
    <w:p w:rsidR="00E14CFE" w:rsidRPr="00E14CFE" w:rsidRDefault="00E14CFE" w:rsidP="00E14CFE">
      <w:pPr>
        <w:ind w:left="567"/>
        <w:rPr>
          <w:i/>
        </w:rPr>
      </w:pPr>
      <w:r w:rsidRPr="00E14CFE">
        <w:rPr>
          <w:i/>
        </w:rPr>
        <w:t xml:space="preserve">‘In conclusion, it is considered that the proponent may be able to achieve the required stormwater/infrastructure provisions within the amended design, however sufficient information has not been provided as part of this application to demonstrate that all services can be located in the proposed area. </w:t>
      </w:r>
    </w:p>
    <w:p w:rsidR="00E14CFE" w:rsidRPr="00E14CFE" w:rsidRDefault="00E14CFE" w:rsidP="00E14CFE">
      <w:pPr>
        <w:ind w:left="567"/>
        <w:rPr>
          <w:i/>
        </w:rPr>
      </w:pPr>
    </w:p>
    <w:p w:rsidR="00E14CFE" w:rsidRPr="00E14CFE" w:rsidRDefault="00E14CFE" w:rsidP="00E14CFE">
      <w:pPr>
        <w:ind w:left="567"/>
        <w:rPr>
          <w:i/>
        </w:rPr>
      </w:pPr>
      <w:r w:rsidRPr="00E14CFE">
        <w:rPr>
          <w:i/>
        </w:rPr>
        <w:t>It is further considered that adequate justification for the reduction of a buffer area has not been provided as part of this application. This is in particular noted through the submission of correspondence from landowners to the north in opposition to this element of the proposal.</w:t>
      </w:r>
    </w:p>
    <w:p w:rsidR="00E14CFE" w:rsidRPr="00E14CFE" w:rsidRDefault="00E14CFE" w:rsidP="00E14CFE">
      <w:pPr>
        <w:ind w:left="567"/>
        <w:rPr>
          <w:i/>
        </w:rPr>
      </w:pPr>
    </w:p>
    <w:p w:rsidR="00E14CFE" w:rsidRPr="001C5ACE" w:rsidRDefault="00E14CFE" w:rsidP="00E14CFE">
      <w:pPr>
        <w:ind w:left="567"/>
        <w:rPr>
          <w:i/>
        </w:rPr>
      </w:pPr>
      <w:r w:rsidRPr="00E14CFE">
        <w:rPr>
          <w:i/>
        </w:rPr>
        <w:t xml:space="preserve">Council would request that the Department of Planning &amp; Environment give consideration to the public submissions received with respect to this element of the modification and it is considered that without sufficient justification for a change to the approved layout, Council would prefer that the existing arrangement </w:t>
      </w:r>
      <w:r w:rsidRPr="001C5ACE">
        <w:rPr>
          <w:i/>
        </w:rPr>
        <w:t>remain to this area.’</w:t>
      </w:r>
    </w:p>
    <w:p w:rsidR="00E14CFE" w:rsidRPr="001C5ACE" w:rsidRDefault="00E14CFE" w:rsidP="00610495">
      <w:pPr>
        <w:rPr>
          <w:szCs w:val="21"/>
          <w:lang w:eastAsia="en-AU"/>
        </w:rPr>
      </w:pPr>
    </w:p>
    <w:p w:rsidR="00E14CFE" w:rsidRPr="001C5ACE" w:rsidRDefault="00E14CFE" w:rsidP="00610495">
      <w:pPr>
        <w:rPr>
          <w:szCs w:val="21"/>
          <w:lang w:eastAsia="en-AU"/>
        </w:rPr>
      </w:pPr>
    </w:p>
    <w:p w:rsidR="00E14CFE" w:rsidRPr="001C5ACE" w:rsidRDefault="00E14CFE" w:rsidP="00E14CFE">
      <w:pPr>
        <w:rPr>
          <w:szCs w:val="21"/>
          <w:u w:val="single"/>
          <w:lang w:eastAsia="en-AU"/>
        </w:rPr>
      </w:pPr>
      <w:r w:rsidRPr="001C5ACE">
        <w:rPr>
          <w:szCs w:val="21"/>
          <w:u w:val="single"/>
          <w:lang w:eastAsia="en-AU"/>
        </w:rPr>
        <w:t>MOD 10 as Now Proposed under Response to Submissions (2017)</w:t>
      </w:r>
    </w:p>
    <w:p w:rsidR="00AC0EDF" w:rsidRDefault="00AC0EDF" w:rsidP="00E14CFE">
      <w:pPr>
        <w:rPr>
          <w:szCs w:val="21"/>
          <w:lang w:eastAsia="en-AU"/>
        </w:rPr>
      </w:pPr>
    </w:p>
    <w:p w:rsidR="00AC0EDF" w:rsidRDefault="00891854" w:rsidP="00E14CFE">
      <w:pPr>
        <w:rPr>
          <w:szCs w:val="21"/>
          <w:lang w:eastAsia="en-AU"/>
        </w:rPr>
      </w:pPr>
      <w:r w:rsidRPr="001C5ACE">
        <w:rPr>
          <w:szCs w:val="21"/>
          <w:lang w:eastAsia="en-AU"/>
        </w:rPr>
        <w:t xml:space="preserve">Subsequent to Council comments to </w:t>
      </w:r>
      <w:r w:rsidR="00731C63">
        <w:rPr>
          <w:szCs w:val="21"/>
          <w:lang w:eastAsia="en-AU"/>
        </w:rPr>
        <w:t xml:space="preserve">NSW Planning </w:t>
      </w:r>
      <w:r w:rsidR="00AC0EDF">
        <w:rPr>
          <w:szCs w:val="21"/>
          <w:lang w:eastAsia="en-AU"/>
        </w:rPr>
        <w:t>the proponent has worked with Council</w:t>
      </w:r>
      <w:r w:rsidR="00CA7A76">
        <w:rPr>
          <w:szCs w:val="21"/>
          <w:lang w:eastAsia="en-AU"/>
        </w:rPr>
        <w:t xml:space="preserve"> officers</w:t>
      </w:r>
      <w:r w:rsidR="00AC0EDF">
        <w:rPr>
          <w:szCs w:val="21"/>
          <w:lang w:eastAsia="en-AU"/>
        </w:rPr>
        <w:t xml:space="preserve"> to resolve the issues raised with the MOD 10 stormwater and green buffer reduction.</w:t>
      </w:r>
    </w:p>
    <w:p w:rsidR="00AC0EDF" w:rsidRDefault="00AC0EDF" w:rsidP="00E14CFE">
      <w:pPr>
        <w:rPr>
          <w:szCs w:val="21"/>
          <w:lang w:eastAsia="en-AU"/>
        </w:rPr>
      </w:pPr>
    </w:p>
    <w:p w:rsidR="00AC0EDF" w:rsidRDefault="00AC0EDF" w:rsidP="00E14CFE">
      <w:pPr>
        <w:rPr>
          <w:szCs w:val="21"/>
          <w:lang w:eastAsia="en-AU"/>
        </w:rPr>
      </w:pPr>
      <w:r>
        <w:rPr>
          <w:szCs w:val="21"/>
          <w:lang w:eastAsia="en-AU"/>
        </w:rPr>
        <w:lastRenderedPageBreak/>
        <w:t xml:space="preserve">This has resulted in a revised </w:t>
      </w:r>
      <w:r w:rsidR="00CA7A76">
        <w:rPr>
          <w:szCs w:val="21"/>
          <w:lang w:eastAsia="en-AU"/>
        </w:rPr>
        <w:t xml:space="preserve">subdivision </w:t>
      </w:r>
      <w:r>
        <w:rPr>
          <w:szCs w:val="21"/>
          <w:lang w:eastAsia="en-AU"/>
        </w:rPr>
        <w:t xml:space="preserve">layout which demonstrates a 20m buffer </w:t>
      </w:r>
      <w:r w:rsidR="00CA7A76">
        <w:rPr>
          <w:szCs w:val="21"/>
          <w:lang w:eastAsia="en-AU"/>
        </w:rPr>
        <w:t xml:space="preserve">to the north site boundary </w:t>
      </w:r>
      <w:r>
        <w:rPr>
          <w:szCs w:val="21"/>
          <w:lang w:eastAsia="en-AU"/>
        </w:rPr>
        <w:t>area</w:t>
      </w:r>
      <w:r w:rsidR="00CA7A76">
        <w:rPr>
          <w:szCs w:val="21"/>
          <w:lang w:eastAsia="en-AU"/>
        </w:rPr>
        <w:t>. Furthermore, the stormwater management now proposed is accepted by Council officers. Therefore Council’s previous concerns with this element of the proposal have been addressed satisfactorily. See below for further detailed comment in this regard.</w:t>
      </w:r>
    </w:p>
    <w:p w:rsidR="00AC0EDF" w:rsidRDefault="00AC0EDF" w:rsidP="00E14CFE">
      <w:pPr>
        <w:rPr>
          <w:szCs w:val="21"/>
          <w:lang w:eastAsia="en-AU"/>
        </w:rPr>
      </w:pPr>
    </w:p>
    <w:p w:rsidR="00AC0EDF" w:rsidRPr="00CA7A76" w:rsidRDefault="00AC0EDF" w:rsidP="00E14CFE">
      <w:pPr>
        <w:rPr>
          <w:i/>
          <w:szCs w:val="21"/>
          <w:lang w:eastAsia="en-AU"/>
        </w:rPr>
      </w:pPr>
      <w:r w:rsidRPr="00CA7A76">
        <w:rPr>
          <w:i/>
          <w:szCs w:val="21"/>
          <w:lang w:eastAsia="en-AU"/>
        </w:rPr>
        <w:t>Green Buffer Area</w:t>
      </w:r>
    </w:p>
    <w:p w:rsidR="00731C63" w:rsidRDefault="00CA7A76" w:rsidP="00E14CFE">
      <w:pPr>
        <w:rPr>
          <w:szCs w:val="21"/>
          <w:lang w:eastAsia="en-AU"/>
        </w:rPr>
      </w:pPr>
      <w:r>
        <w:rPr>
          <w:szCs w:val="21"/>
          <w:lang w:eastAsia="en-AU"/>
        </w:rPr>
        <w:t>The revised development layout now proposed a 20m green buffer area to the north of the proposed northern road, as per figure</w:t>
      </w:r>
      <w:r w:rsidR="002229A0">
        <w:rPr>
          <w:szCs w:val="21"/>
          <w:lang w:eastAsia="en-AU"/>
        </w:rPr>
        <w:t xml:space="preserve"> 18</w:t>
      </w:r>
      <w:r>
        <w:rPr>
          <w:szCs w:val="21"/>
          <w:lang w:eastAsia="en-AU"/>
        </w:rPr>
        <w:t xml:space="preserve"> below;</w:t>
      </w:r>
    </w:p>
    <w:p w:rsidR="00AC0EDF" w:rsidRDefault="00AC0EDF" w:rsidP="00E14CFE">
      <w:pPr>
        <w:rPr>
          <w:szCs w:val="21"/>
          <w:lang w:eastAsia="en-AU"/>
        </w:rPr>
      </w:pPr>
    </w:p>
    <w:p w:rsidR="00CA7A76" w:rsidRDefault="00CA7A76" w:rsidP="00E14CFE">
      <w:pPr>
        <w:rPr>
          <w:szCs w:val="21"/>
          <w:lang w:eastAsia="en-AU"/>
        </w:rPr>
      </w:pPr>
    </w:p>
    <w:p w:rsidR="00CA7A76" w:rsidRDefault="00CA7A76" w:rsidP="00E14CFE">
      <w:pPr>
        <w:rPr>
          <w:szCs w:val="21"/>
          <w:lang w:eastAsia="en-AU"/>
        </w:rPr>
      </w:pPr>
    </w:p>
    <w:p w:rsidR="00CA7A76" w:rsidRDefault="00CA7A76" w:rsidP="00E14CFE">
      <w:pPr>
        <w:rPr>
          <w:szCs w:val="21"/>
          <w:lang w:eastAsia="en-AU"/>
        </w:rPr>
      </w:pPr>
    </w:p>
    <w:p w:rsidR="00AC0EDF" w:rsidRDefault="00AC0EDF" w:rsidP="00E14CFE">
      <w:pPr>
        <w:rPr>
          <w:szCs w:val="21"/>
          <w:lang w:eastAsia="en-AU"/>
        </w:rPr>
      </w:pPr>
      <w:r>
        <w:rPr>
          <w:noProof/>
          <w:szCs w:val="21"/>
          <w:lang w:eastAsia="en-AU"/>
        </w:rPr>
        <w:drawing>
          <wp:inline distT="0" distB="0" distL="0" distR="0">
            <wp:extent cx="5723890" cy="1840865"/>
            <wp:effectExtent l="0" t="0" r="0" b="698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3890" cy="1840865"/>
                    </a:xfrm>
                    <a:prstGeom prst="rect">
                      <a:avLst/>
                    </a:prstGeom>
                    <a:noFill/>
                    <a:ln>
                      <a:noFill/>
                    </a:ln>
                  </pic:spPr>
                </pic:pic>
              </a:graphicData>
            </a:graphic>
          </wp:inline>
        </w:drawing>
      </w:r>
    </w:p>
    <w:p w:rsidR="00CA7A76" w:rsidRPr="00E14CFE" w:rsidRDefault="00CA7A76" w:rsidP="00CA7A76">
      <w:pPr>
        <w:tabs>
          <w:tab w:val="left" w:pos="5103"/>
          <w:tab w:val="left" w:pos="5670"/>
          <w:tab w:val="left" w:pos="6237"/>
        </w:tabs>
        <w:jc w:val="center"/>
        <w:rPr>
          <w:b/>
        </w:rPr>
      </w:pPr>
      <w:r w:rsidRPr="00E14CFE">
        <w:rPr>
          <w:b/>
          <w:sz w:val="20"/>
        </w:rPr>
        <w:t xml:space="preserve">Figure </w:t>
      </w:r>
      <w:r w:rsidRPr="002229A0">
        <w:rPr>
          <w:b/>
          <w:sz w:val="20"/>
        </w:rPr>
        <w:t>1</w:t>
      </w:r>
      <w:r w:rsidR="002229A0">
        <w:rPr>
          <w:b/>
          <w:sz w:val="20"/>
        </w:rPr>
        <w:t>8</w:t>
      </w:r>
      <w:r w:rsidRPr="00E14CFE">
        <w:rPr>
          <w:b/>
          <w:sz w:val="20"/>
        </w:rPr>
        <w:t xml:space="preserve">: North Boundary Treatment with road </w:t>
      </w:r>
    </w:p>
    <w:p w:rsidR="00CA7A76" w:rsidRDefault="00CA7A76" w:rsidP="00E14CFE">
      <w:pPr>
        <w:rPr>
          <w:szCs w:val="21"/>
          <w:lang w:eastAsia="en-AU"/>
        </w:rPr>
      </w:pPr>
    </w:p>
    <w:p w:rsidR="00CA7A76" w:rsidRDefault="00CA7A76" w:rsidP="00E14CFE">
      <w:pPr>
        <w:rPr>
          <w:szCs w:val="21"/>
          <w:lang w:eastAsia="en-AU"/>
        </w:rPr>
      </w:pPr>
      <w:r>
        <w:rPr>
          <w:szCs w:val="21"/>
          <w:lang w:eastAsia="en-AU"/>
        </w:rPr>
        <w:t xml:space="preserve">This maintains a buffer area consistent with the existing Major Project Approval and is therefore acceptable. </w:t>
      </w:r>
    </w:p>
    <w:p w:rsidR="00CA7A76" w:rsidRDefault="00CA7A76" w:rsidP="00E14CFE">
      <w:pPr>
        <w:rPr>
          <w:szCs w:val="21"/>
          <w:lang w:eastAsia="en-AU"/>
        </w:rPr>
      </w:pPr>
    </w:p>
    <w:p w:rsidR="00CA7A76" w:rsidRPr="00CA7A76" w:rsidRDefault="00CA7A76" w:rsidP="00CA7A76">
      <w:pPr>
        <w:rPr>
          <w:i/>
          <w:szCs w:val="21"/>
          <w:lang w:eastAsia="en-AU"/>
        </w:rPr>
      </w:pPr>
      <w:r w:rsidRPr="00CA7A76">
        <w:rPr>
          <w:i/>
          <w:szCs w:val="21"/>
          <w:lang w:eastAsia="en-AU"/>
        </w:rPr>
        <w:t>Stormwater Management</w:t>
      </w:r>
    </w:p>
    <w:p w:rsidR="00C47991" w:rsidRPr="00B2426E" w:rsidRDefault="00C47991" w:rsidP="00C47991">
      <w:r w:rsidRPr="00B2426E">
        <w:t>Concerns were raised with the initial modification application in that it proposed to significantly reduce the size of the piped trunk drainage system. The outcome was that the applicant’s consultant report was reviewed by a third party, which recommended a further change in stormwater design.</w:t>
      </w:r>
    </w:p>
    <w:p w:rsidR="00C47991" w:rsidRPr="00B2426E" w:rsidRDefault="00C47991" w:rsidP="00C47991"/>
    <w:p w:rsidR="00C47991" w:rsidRDefault="00C47991" w:rsidP="00C47991">
      <w:r w:rsidRPr="00B2426E">
        <w:t xml:space="preserve">The stormwater design now proposed includes a </w:t>
      </w:r>
      <w:r w:rsidR="00B2426E" w:rsidRPr="00B2426E">
        <w:t>2.7m x 1.8m stormwater culvert as identified in figure</w:t>
      </w:r>
      <w:r w:rsidR="002229A0">
        <w:t xml:space="preserve"> 19</w:t>
      </w:r>
      <w:r w:rsidR="00B2426E" w:rsidRPr="00B2426E">
        <w:t xml:space="preserve"> below.</w:t>
      </w:r>
      <w:r w:rsidR="00B2426E">
        <w:t xml:space="preserve"> This has been reviewed by Council officers and is</w:t>
      </w:r>
      <w:r w:rsidR="001A4672">
        <w:t xml:space="preserve"> considered to be acceptable fro</w:t>
      </w:r>
      <w:r w:rsidR="00B2426E">
        <w:t>m a stormwater perspective.</w:t>
      </w:r>
    </w:p>
    <w:p w:rsidR="00B2426E" w:rsidRDefault="00B2426E" w:rsidP="00C47991"/>
    <w:p w:rsidR="00B2426E" w:rsidRPr="00B2426E" w:rsidRDefault="00B2426E" w:rsidP="00C47991"/>
    <w:p w:rsidR="00C47991" w:rsidRDefault="00B2426E" w:rsidP="00CA7A76">
      <w:pPr>
        <w:rPr>
          <w:szCs w:val="21"/>
          <w:lang w:eastAsia="en-AU"/>
        </w:rPr>
      </w:pPr>
      <w:r>
        <w:rPr>
          <w:noProof/>
          <w:szCs w:val="21"/>
          <w:lang w:eastAsia="en-AU"/>
        </w:rPr>
        <w:lastRenderedPageBreak/>
        <w:drawing>
          <wp:inline distT="0" distB="0" distL="0" distR="0">
            <wp:extent cx="5723890" cy="4001770"/>
            <wp:effectExtent l="0" t="0" r="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3890" cy="4001770"/>
                    </a:xfrm>
                    <a:prstGeom prst="rect">
                      <a:avLst/>
                    </a:prstGeom>
                    <a:noFill/>
                    <a:ln>
                      <a:noFill/>
                    </a:ln>
                  </pic:spPr>
                </pic:pic>
              </a:graphicData>
            </a:graphic>
          </wp:inline>
        </w:drawing>
      </w:r>
    </w:p>
    <w:p w:rsidR="00CA7A76" w:rsidRDefault="00B2426E" w:rsidP="00B2426E">
      <w:pPr>
        <w:jc w:val="center"/>
        <w:rPr>
          <w:b/>
          <w:sz w:val="20"/>
        </w:rPr>
      </w:pPr>
      <w:r w:rsidRPr="00E14CFE">
        <w:rPr>
          <w:b/>
          <w:sz w:val="20"/>
        </w:rPr>
        <w:t>Figure</w:t>
      </w:r>
      <w:r w:rsidR="002229A0">
        <w:rPr>
          <w:b/>
          <w:sz w:val="20"/>
        </w:rPr>
        <w:t xml:space="preserve"> 19</w:t>
      </w:r>
      <w:r w:rsidRPr="00E14CFE">
        <w:rPr>
          <w:b/>
          <w:sz w:val="20"/>
        </w:rPr>
        <w:t>: North Boundary</w:t>
      </w:r>
      <w:r>
        <w:rPr>
          <w:b/>
          <w:sz w:val="20"/>
        </w:rPr>
        <w:t xml:space="preserve"> Stormwater Treatment</w:t>
      </w:r>
    </w:p>
    <w:p w:rsidR="00B2426E" w:rsidRDefault="001A4672" w:rsidP="00CA7A76">
      <w:pPr>
        <w:rPr>
          <w:szCs w:val="21"/>
          <w:lang w:eastAsia="en-AU"/>
        </w:rPr>
      </w:pPr>
      <w:r>
        <w:rPr>
          <w:szCs w:val="21"/>
          <w:lang w:eastAsia="en-AU"/>
        </w:rPr>
        <w:t xml:space="preserve">The relevant Council Officer </w:t>
      </w:r>
      <w:r w:rsidR="00B2426E">
        <w:rPr>
          <w:szCs w:val="21"/>
          <w:lang w:eastAsia="en-AU"/>
        </w:rPr>
        <w:t>Engineering comments are provided below;</w:t>
      </w:r>
    </w:p>
    <w:p w:rsidR="00B2426E" w:rsidRPr="001A4672" w:rsidRDefault="00B2426E" w:rsidP="00CA7A76">
      <w:pPr>
        <w:rPr>
          <w:szCs w:val="21"/>
          <w:lang w:eastAsia="en-AU"/>
        </w:rPr>
      </w:pPr>
    </w:p>
    <w:p w:rsidR="00E14CFE" w:rsidRPr="001A4672" w:rsidRDefault="00891854" w:rsidP="00E14CFE">
      <w:pPr>
        <w:rPr>
          <w:i/>
          <w:szCs w:val="21"/>
          <w:lang w:eastAsia="en-AU"/>
        </w:rPr>
      </w:pPr>
      <w:r w:rsidRPr="001A4672">
        <w:rPr>
          <w:i/>
          <w:szCs w:val="21"/>
          <w:lang w:eastAsia="en-AU"/>
        </w:rPr>
        <w:t xml:space="preserve">Manager Roads &amp; Stormwater  </w:t>
      </w:r>
    </w:p>
    <w:p w:rsidR="001A4672" w:rsidRDefault="001A4672" w:rsidP="001A4672">
      <w:r w:rsidRPr="001A4672">
        <w:t xml:space="preserve">Over the course of almost two years, Council officers have been working to resolve issues with the subject modification application with the proponents and their consultant engineers. With respect to public infrastructure (excluding water and waste water which is </w:t>
      </w:r>
      <w:r>
        <w:t>assessed by others) the main issue has related to the piping of the stormwater swale through the site. While this was approved in previous modifications, the subject subdivision application sought to further modify the plans for infrastructure and public space within the stormwater easement. This was important for a number of reasons, the main being:</w:t>
      </w:r>
    </w:p>
    <w:p w:rsidR="001A4672" w:rsidRDefault="001A4672" w:rsidP="001A4672">
      <w:pPr>
        <w:pStyle w:val="ListParagraph"/>
        <w:numPr>
          <w:ilvl w:val="0"/>
          <w:numId w:val="33"/>
        </w:numPr>
        <w:tabs>
          <w:tab w:val="clear" w:pos="567"/>
        </w:tabs>
        <w:jc w:val="left"/>
      </w:pPr>
      <w:r>
        <w:t>Demonstration that the proposed piped trunk drainage would have adequate capacity to cater for the 1% AEP storm event (or greater) without causing flooding of existing properties, future allotments, or the coastal reserve and beach areas;</w:t>
      </w:r>
    </w:p>
    <w:p w:rsidR="001A4672" w:rsidRDefault="001A4672" w:rsidP="001A4672">
      <w:pPr>
        <w:pStyle w:val="ListParagraph"/>
        <w:numPr>
          <w:ilvl w:val="0"/>
          <w:numId w:val="33"/>
        </w:numPr>
        <w:tabs>
          <w:tab w:val="clear" w:pos="567"/>
        </w:tabs>
        <w:jc w:val="left"/>
      </w:pPr>
      <w:r>
        <w:t>Provision of adequate alternate stormwater infiltration areas that are lost due to piping of the swale, to ensure downstream impacts of the development on Cudgen Creek are mitigated in accordance with the original master plan approvals for Casuarina;</w:t>
      </w:r>
    </w:p>
    <w:p w:rsidR="001A4672" w:rsidRDefault="001A4672" w:rsidP="001A4672">
      <w:pPr>
        <w:pStyle w:val="ListParagraph"/>
        <w:numPr>
          <w:ilvl w:val="0"/>
          <w:numId w:val="33"/>
        </w:numPr>
        <w:tabs>
          <w:tab w:val="clear" w:pos="567"/>
        </w:tabs>
        <w:jc w:val="left"/>
      </w:pPr>
      <w:r>
        <w:t>Provision of a suitable northern buffer between the town centre and existing residential development to the north, containing green space, walk/cycling paths, infrastructure services, and an overall positive urban design outcome.</w:t>
      </w:r>
    </w:p>
    <w:p w:rsidR="001A4672" w:rsidRDefault="001A4672" w:rsidP="001A4672"/>
    <w:p w:rsidR="001A4672" w:rsidRDefault="001A4672" w:rsidP="001A4672">
      <w:r>
        <w:t xml:space="preserve">Concerns were raised with the initial modification application in that it proposed to significantly reduce the size of the piped trunk drainage system.  The outcome was that the applicant’s consultant report was reviewed by a third party, which </w:t>
      </w:r>
      <w:r>
        <w:lastRenderedPageBreak/>
        <w:t>recommended a further change in stormwater design. This was ultimately acceptable to Council and the applicant, and the modification application adjusted accordingly.</w:t>
      </w:r>
    </w:p>
    <w:p w:rsidR="001A4672" w:rsidRDefault="001A4672" w:rsidP="001A4672"/>
    <w:p w:rsidR="001A4672" w:rsidRDefault="001A4672" w:rsidP="001A4672">
      <w:r>
        <w:t>In undertaking these drainage changes and in response to community submissions, the 20m buffer along the northern boundary was also reinstated, to be clear of road infrastructure and private development. Again this is acceptable to Council officers, and amended plans now reflect this.</w:t>
      </w:r>
    </w:p>
    <w:p w:rsidR="001A4672" w:rsidRDefault="001A4672" w:rsidP="001A4672"/>
    <w:p w:rsidR="001A4672" w:rsidRDefault="001A4672" w:rsidP="001A4672">
      <w:r>
        <w:t>In order to achieve capacity and infiltration requirements, significant stormwater drainage infrastructure was proposed within the coastal reserve along the eastern frontage of the town centre site. Initially this consumed a large area, required levels that resulted in unsuitably high retaining structures on public land, and was judged by Council officers to be a poor outcome for the public reserve. Through a process of meetings and emailed correspondence, the applicant’s engineering consultants modified the landform and stormwater interface to produce a basin design that is now suitable to Council officers and accepted by the developer. The works on this parcel necessitated a review of the plan of management for community land, however it is assumed that this process has been resolved appropriately.</w:t>
      </w:r>
    </w:p>
    <w:p w:rsidR="001A4672" w:rsidRDefault="001A4672" w:rsidP="001A4672">
      <w:pPr>
        <w:rPr>
          <w:b/>
        </w:rPr>
      </w:pPr>
    </w:p>
    <w:p w:rsidR="00891854" w:rsidRPr="001A4672" w:rsidRDefault="001A4672" w:rsidP="00610495">
      <w:r>
        <w:t>In terms of the modification application’s impacts on public infrastructure, I am satisfied with the applicant’s response to Council’s previous submissions, and the modified / updated plans and drawings.</w:t>
      </w:r>
    </w:p>
    <w:p w:rsidR="00891854" w:rsidRPr="001A4672" w:rsidRDefault="00891854" w:rsidP="00610495">
      <w:pPr>
        <w:rPr>
          <w:szCs w:val="21"/>
          <w:highlight w:val="yellow"/>
          <w:lang w:eastAsia="en-AU"/>
        </w:rPr>
      </w:pPr>
    </w:p>
    <w:p w:rsidR="00610495" w:rsidRPr="001A4672" w:rsidRDefault="00610495" w:rsidP="00610495">
      <w:pPr>
        <w:rPr>
          <w:i/>
          <w:szCs w:val="21"/>
          <w:highlight w:val="yellow"/>
          <w:lang w:eastAsia="en-AU"/>
        </w:rPr>
      </w:pPr>
      <w:r w:rsidRPr="001A4672">
        <w:rPr>
          <w:i/>
          <w:szCs w:val="21"/>
          <w:lang w:eastAsia="en-AU"/>
        </w:rPr>
        <w:t>Development Engineering Unit</w:t>
      </w:r>
    </w:p>
    <w:p w:rsidR="001A4672" w:rsidRPr="001A4672" w:rsidRDefault="001A4672" w:rsidP="001A4672">
      <w:pPr>
        <w:rPr>
          <w:rFonts w:ascii="Arial" w:hAnsi="Arial"/>
        </w:rPr>
      </w:pPr>
      <w:r w:rsidRPr="001A4672">
        <w:rPr>
          <w:rFonts w:ascii="Arial" w:hAnsi="Arial"/>
        </w:rPr>
        <w:t xml:space="preserve">‘… an external peer review is required to confirm pipe sizing. On 15 May 2017 a revised stormwater management plan and a peer review work was submitted to Council. Based on the findings it was agreed that a 2700x1800 RCBC was an acceptable solution.    </w:t>
      </w:r>
    </w:p>
    <w:p w:rsidR="001A4672" w:rsidRPr="001A4672" w:rsidRDefault="001A4672" w:rsidP="001A4672">
      <w:pPr>
        <w:rPr>
          <w:rFonts w:ascii="Arial" w:hAnsi="Arial"/>
        </w:rPr>
      </w:pPr>
    </w:p>
    <w:p w:rsidR="001A4672" w:rsidRPr="001A4672" w:rsidRDefault="001A4672" w:rsidP="001A4672">
      <w:pPr>
        <w:rPr>
          <w:rFonts w:ascii="Arial" w:hAnsi="Arial"/>
          <w:bCs/>
        </w:rPr>
      </w:pPr>
      <w:r w:rsidRPr="001A4672">
        <w:rPr>
          <w:rFonts w:ascii="Arial" w:hAnsi="Arial"/>
        </w:rPr>
        <w:t xml:space="preserve">Based on the above agreement of stormwater pipe sizing’s the other services (sewer, water, retaining walls, batters, pump station location etc…) was consequently updated and hence have now been accepted as appropriate. </w:t>
      </w:r>
    </w:p>
    <w:p w:rsidR="001A4672" w:rsidRPr="001A4672" w:rsidRDefault="001A4672" w:rsidP="001A4672">
      <w:pPr>
        <w:rPr>
          <w:rFonts w:ascii="Arial" w:hAnsi="Arial"/>
        </w:rPr>
      </w:pPr>
    </w:p>
    <w:p w:rsidR="001A4672" w:rsidRDefault="001A4672" w:rsidP="001A4672">
      <w:r w:rsidRPr="001A4672">
        <w:rPr>
          <w:rFonts w:ascii="Arial" w:hAnsi="Arial"/>
        </w:rPr>
        <w:t>It is now considered that the proposed drainage 2700x1800 RCBC pipe is an accepted drainage solution combined with a northern swale above including a 20m wide drainage reserve.</w:t>
      </w:r>
      <w:r w:rsidRPr="001A4672">
        <w:t xml:space="preserve">   </w:t>
      </w:r>
    </w:p>
    <w:p w:rsidR="001A4672" w:rsidRPr="001A4672" w:rsidRDefault="001A4672" w:rsidP="001A4672"/>
    <w:p w:rsidR="001A4672" w:rsidRDefault="001A4672" w:rsidP="00610495"/>
    <w:p w:rsidR="00610495" w:rsidRPr="006C10FD" w:rsidRDefault="00610495" w:rsidP="00610495">
      <w:pPr>
        <w:tabs>
          <w:tab w:val="left" w:pos="5103"/>
          <w:tab w:val="left" w:pos="5670"/>
          <w:tab w:val="left" w:pos="6237"/>
        </w:tabs>
        <w:rPr>
          <w:b/>
          <w:i/>
          <w:u w:val="single"/>
        </w:rPr>
      </w:pPr>
      <w:r w:rsidRPr="006C10FD">
        <w:rPr>
          <w:b/>
          <w:i/>
          <w:u w:val="single"/>
        </w:rPr>
        <w:t>Changes to the timing for the provision of additional beach access</w:t>
      </w:r>
    </w:p>
    <w:p w:rsidR="00610495" w:rsidRDefault="00610495" w:rsidP="00610495"/>
    <w:p w:rsidR="00610495" w:rsidRPr="00CB1F28" w:rsidRDefault="00610495" w:rsidP="00610495">
      <w:pPr>
        <w:rPr>
          <w:szCs w:val="21"/>
          <w:lang w:eastAsia="en-AU"/>
        </w:rPr>
      </w:pPr>
      <w:r w:rsidRPr="000B106F">
        <w:rPr>
          <w:lang w:eastAsia="en-AU"/>
        </w:rPr>
        <w:t xml:space="preserve">Under the current approval, Condition </w:t>
      </w:r>
      <w:r w:rsidRPr="00CB1F28">
        <w:rPr>
          <w:lang w:eastAsia="en-AU"/>
        </w:rPr>
        <w:t>B5 of the Concept Approval requires the proponent to obtain approval from the</w:t>
      </w:r>
      <w:r w:rsidRPr="000B106F">
        <w:rPr>
          <w:lang w:eastAsia="en-AU"/>
        </w:rPr>
        <w:t xml:space="preserve"> relevant agencies regarding the provision of </w:t>
      </w:r>
      <w:r>
        <w:rPr>
          <w:lang w:eastAsia="en-AU"/>
        </w:rPr>
        <w:t>a</w:t>
      </w:r>
      <w:r w:rsidRPr="000B106F">
        <w:rPr>
          <w:lang w:eastAsia="en-AU"/>
        </w:rPr>
        <w:t xml:space="preserve"> proposed beach access to the east of the icon building.</w:t>
      </w:r>
      <w:r>
        <w:rPr>
          <w:lang w:eastAsia="en-AU"/>
        </w:rPr>
        <w:t xml:space="preserve"> This is currently required prior to the issue of a construction certificate for balance of Stage 1 works. The applicant has requested that the approval be modified to </w:t>
      </w:r>
      <w:r w:rsidRPr="00A022BB">
        <w:rPr>
          <w:szCs w:val="21"/>
          <w:lang w:eastAsia="en-AU"/>
        </w:rPr>
        <w:t xml:space="preserve">have the access approved in Stage </w:t>
      </w:r>
      <w:r w:rsidRPr="00CB1F28">
        <w:rPr>
          <w:szCs w:val="21"/>
          <w:lang w:eastAsia="en-AU"/>
        </w:rPr>
        <w:t>2 in association with the development of the ‘Icon Building’ and surf lifesaving facilities.</w:t>
      </w:r>
    </w:p>
    <w:p w:rsidR="00610495" w:rsidRPr="00CB1F28" w:rsidRDefault="00610495" w:rsidP="00610495">
      <w:pPr>
        <w:rPr>
          <w:szCs w:val="21"/>
          <w:lang w:eastAsia="en-AU"/>
        </w:rPr>
      </w:pPr>
    </w:p>
    <w:p w:rsidR="00610495" w:rsidRPr="00E71949" w:rsidRDefault="00610495" w:rsidP="00610495">
      <w:pPr>
        <w:rPr>
          <w:i/>
          <w:szCs w:val="22"/>
          <w:lang w:eastAsia="en-AU"/>
        </w:rPr>
      </w:pPr>
      <w:r w:rsidRPr="00CB1F28">
        <w:rPr>
          <w:szCs w:val="21"/>
          <w:lang w:eastAsia="en-AU"/>
        </w:rPr>
        <w:t>To this end the a</w:t>
      </w:r>
      <w:r w:rsidRPr="00E71949">
        <w:rPr>
          <w:szCs w:val="21"/>
          <w:lang w:eastAsia="en-AU"/>
        </w:rPr>
        <w:t>pplicant has provided an amended condition B5 which states that ‘</w:t>
      </w:r>
      <w:r w:rsidRPr="00E71949">
        <w:rPr>
          <w:i/>
          <w:szCs w:val="22"/>
          <w:lang w:eastAsia="en-AU"/>
        </w:rPr>
        <w:t xml:space="preserve">Evidence of the approval for the construction of the beach access shall be provided </w:t>
      </w:r>
      <w:r w:rsidRPr="00E71949">
        <w:rPr>
          <w:i/>
          <w:szCs w:val="22"/>
          <w:lang w:eastAsia="en-AU"/>
        </w:rPr>
        <w:lastRenderedPageBreak/>
        <w:t>to the Department prior to the issue of the Construction Certificate for the Icon Building.’</w:t>
      </w:r>
    </w:p>
    <w:p w:rsidR="00610495" w:rsidRPr="00E71949" w:rsidRDefault="00610495" w:rsidP="00610495">
      <w:pPr>
        <w:rPr>
          <w:i/>
          <w:szCs w:val="22"/>
          <w:lang w:eastAsia="en-AU"/>
        </w:rPr>
      </w:pPr>
    </w:p>
    <w:p w:rsidR="00610495" w:rsidRPr="00E71949" w:rsidRDefault="00610495" w:rsidP="00610495">
      <w:r w:rsidRPr="00E71949">
        <w:rPr>
          <w:szCs w:val="22"/>
          <w:lang w:eastAsia="en-AU"/>
        </w:rPr>
        <w:t xml:space="preserve">This </w:t>
      </w:r>
      <w:r w:rsidR="00EC3ED5" w:rsidRPr="00E71949">
        <w:rPr>
          <w:szCs w:val="22"/>
          <w:lang w:eastAsia="en-AU"/>
        </w:rPr>
        <w:t>has been</w:t>
      </w:r>
      <w:r w:rsidR="00E71949" w:rsidRPr="00E71949">
        <w:rPr>
          <w:szCs w:val="22"/>
          <w:lang w:eastAsia="en-AU"/>
        </w:rPr>
        <w:t xml:space="preserve"> previously</w:t>
      </w:r>
      <w:r w:rsidR="00EC3ED5" w:rsidRPr="00E71949">
        <w:rPr>
          <w:szCs w:val="22"/>
          <w:lang w:eastAsia="en-AU"/>
        </w:rPr>
        <w:t xml:space="preserve"> reviewed by Councils N</w:t>
      </w:r>
      <w:r w:rsidRPr="00E71949">
        <w:rPr>
          <w:szCs w:val="22"/>
          <w:lang w:eastAsia="en-AU"/>
        </w:rPr>
        <w:t xml:space="preserve">atural Resource </w:t>
      </w:r>
      <w:r w:rsidR="00EC3ED5" w:rsidRPr="00E71949">
        <w:rPr>
          <w:szCs w:val="22"/>
          <w:lang w:eastAsia="en-AU"/>
        </w:rPr>
        <w:t>M</w:t>
      </w:r>
      <w:r w:rsidRPr="00E71949">
        <w:rPr>
          <w:szCs w:val="22"/>
          <w:lang w:eastAsia="en-AU"/>
        </w:rPr>
        <w:t>anagement Unit who have advised that there is ‘</w:t>
      </w:r>
      <w:r w:rsidRPr="00E71949">
        <w:rPr>
          <w:i/>
        </w:rPr>
        <w:t xml:space="preserve">No objection to the proposed changes to timing for provision of additional beach access.’ </w:t>
      </w:r>
    </w:p>
    <w:p w:rsidR="00E71949" w:rsidRPr="00E71949" w:rsidRDefault="00E71949" w:rsidP="00610495">
      <w:pPr>
        <w:rPr>
          <w:i/>
        </w:rPr>
      </w:pPr>
    </w:p>
    <w:p w:rsidR="00610495" w:rsidRPr="00E71949" w:rsidRDefault="00610495" w:rsidP="00610495">
      <w:r w:rsidRPr="00E71949">
        <w:t>Council has no objection to the amended timing for the beach access provision.</w:t>
      </w:r>
    </w:p>
    <w:p w:rsidR="00610495" w:rsidRDefault="00610495" w:rsidP="00610495"/>
    <w:p w:rsidR="00610495" w:rsidRPr="006C10FD" w:rsidRDefault="00610495" w:rsidP="00610495">
      <w:pPr>
        <w:tabs>
          <w:tab w:val="left" w:pos="5103"/>
          <w:tab w:val="left" w:pos="5670"/>
          <w:tab w:val="left" w:pos="6237"/>
        </w:tabs>
        <w:rPr>
          <w:b/>
          <w:i/>
          <w:u w:val="single"/>
        </w:rPr>
      </w:pPr>
      <w:r w:rsidRPr="006C10FD">
        <w:rPr>
          <w:b/>
          <w:i/>
          <w:u w:val="single"/>
        </w:rPr>
        <w:t>Changes to the approved staging plan</w:t>
      </w:r>
    </w:p>
    <w:p w:rsidR="00610495" w:rsidRPr="00361D55" w:rsidRDefault="00610495" w:rsidP="00610495">
      <w:pPr>
        <w:tabs>
          <w:tab w:val="left" w:pos="5103"/>
          <w:tab w:val="left" w:pos="5670"/>
          <w:tab w:val="left" w:pos="6237"/>
        </w:tabs>
      </w:pPr>
    </w:p>
    <w:p w:rsidR="00610495" w:rsidRPr="00361D55" w:rsidRDefault="00610495" w:rsidP="00610495">
      <w:pPr>
        <w:tabs>
          <w:tab w:val="left" w:pos="5103"/>
          <w:tab w:val="left" w:pos="5670"/>
          <w:tab w:val="left" w:pos="6237"/>
        </w:tabs>
      </w:pPr>
      <w:r w:rsidRPr="00361D55">
        <w:t>Amended staging of the development is proposed as part of th</w:t>
      </w:r>
      <w:r w:rsidR="00A1594B">
        <w:t>e MOD 10</w:t>
      </w:r>
      <w:r w:rsidRPr="00361D55">
        <w:t xml:space="preserve"> application. With respect to this, the </w:t>
      </w:r>
      <w:r w:rsidR="00A1594B">
        <w:t>information submitted in 2016</w:t>
      </w:r>
      <w:r w:rsidRPr="00361D55">
        <w:t xml:space="preserve"> application states the following;</w:t>
      </w:r>
    </w:p>
    <w:p w:rsidR="00610495" w:rsidRPr="00361D55" w:rsidRDefault="00610495" w:rsidP="00610495">
      <w:pPr>
        <w:tabs>
          <w:tab w:val="left" w:pos="5103"/>
          <w:tab w:val="left" w:pos="5670"/>
          <w:tab w:val="left" w:pos="6237"/>
        </w:tabs>
      </w:pPr>
    </w:p>
    <w:p w:rsidR="00610495" w:rsidRPr="00361D55" w:rsidRDefault="00610495" w:rsidP="00610495">
      <w:pPr>
        <w:ind w:left="567"/>
        <w:rPr>
          <w:i/>
          <w:szCs w:val="21"/>
          <w:lang w:eastAsia="en-AU"/>
        </w:rPr>
      </w:pPr>
      <w:r w:rsidRPr="00361D55">
        <w:rPr>
          <w:i/>
          <w:szCs w:val="21"/>
          <w:lang w:eastAsia="en-AU"/>
        </w:rPr>
        <w:t>“Stage 1D is proposed to include the construction of the civil infrastructure and its associated dedication as a public asset, whilst Stage 1E will include the release of the remaining 92</w:t>
      </w:r>
      <w:r w:rsidR="004D0D58">
        <w:rPr>
          <w:i/>
          <w:szCs w:val="21"/>
          <w:lang w:eastAsia="en-AU"/>
        </w:rPr>
        <w:t>*</w:t>
      </w:r>
      <w:r w:rsidRPr="00361D55">
        <w:rPr>
          <w:i/>
          <w:szCs w:val="21"/>
          <w:lang w:eastAsia="en-AU"/>
        </w:rPr>
        <w:t xml:space="preserve"> lots (including 2 public reserves). Stage 1D will encompass the development of the balance of the road network (as amended), water, sewer, drainage, electricity and telecommunication infrastructure for the full Casuarina Town Centre. As part of the drainage works, the existing swale will be piped and filled and thereby established as a planted buffer with a shared pedestrian/cycleway path.</w:t>
      </w:r>
    </w:p>
    <w:p w:rsidR="00610495" w:rsidRPr="00361D55" w:rsidRDefault="00610495" w:rsidP="00610495">
      <w:pPr>
        <w:ind w:left="567"/>
        <w:rPr>
          <w:i/>
          <w:szCs w:val="21"/>
          <w:lang w:eastAsia="en-AU"/>
        </w:rPr>
      </w:pPr>
    </w:p>
    <w:p w:rsidR="00610495" w:rsidRPr="00361D55" w:rsidRDefault="00610495" w:rsidP="00610495">
      <w:pPr>
        <w:ind w:left="567"/>
        <w:rPr>
          <w:i/>
          <w:szCs w:val="21"/>
          <w:lang w:eastAsia="en-AU"/>
        </w:rPr>
      </w:pPr>
      <w:r w:rsidRPr="00361D55">
        <w:rPr>
          <w:i/>
          <w:szCs w:val="21"/>
          <w:lang w:eastAsia="en-AU"/>
        </w:rPr>
        <w:t>Stage 1E will then comprise the release of the balance of the subdivision for future residential housing, mixed use, commercial and retail development. The timing for the release of the lots within Stage 1E will occur based on market demand.”</w:t>
      </w:r>
    </w:p>
    <w:p w:rsidR="00610495" w:rsidRPr="00361D55" w:rsidRDefault="00610495" w:rsidP="00610495">
      <w:pPr>
        <w:rPr>
          <w:rFonts w:ascii="EurostileRegular" w:hAnsi="EurostileRegular" w:cs="EurostileRegular"/>
          <w:sz w:val="21"/>
          <w:szCs w:val="21"/>
          <w:lang w:eastAsia="en-AU"/>
        </w:rPr>
      </w:pPr>
    </w:p>
    <w:p w:rsidR="004D0D58" w:rsidRDefault="004D0D58" w:rsidP="00610495">
      <w:pPr>
        <w:tabs>
          <w:tab w:val="left" w:pos="5103"/>
          <w:tab w:val="left" w:pos="5670"/>
          <w:tab w:val="left" w:pos="6237"/>
        </w:tabs>
      </w:pPr>
      <w:r>
        <w:t>*Planners Note: Stage 1E will now encompass 93 lots rather than 92 lots</w:t>
      </w:r>
    </w:p>
    <w:p w:rsidR="004D0D58" w:rsidRDefault="004D0D58" w:rsidP="00610495">
      <w:pPr>
        <w:tabs>
          <w:tab w:val="left" w:pos="5103"/>
          <w:tab w:val="left" w:pos="5670"/>
          <w:tab w:val="left" w:pos="6237"/>
        </w:tabs>
      </w:pPr>
    </w:p>
    <w:p w:rsidR="00610495" w:rsidRPr="00361D55" w:rsidRDefault="00610495" w:rsidP="00610495">
      <w:pPr>
        <w:tabs>
          <w:tab w:val="left" w:pos="5103"/>
          <w:tab w:val="left" w:pos="5670"/>
          <w:tab w:val="left" w:pos="6237"/>
        </w:tabs>
        <w:rPr>
          <w:highlight w:val="yellow"/>
        </w:rPr>
      </w:pPr>
      <w:r w:rsidRPr="00361D55">
        <w:t xml:space="preserve">The amended staging is demonstrated in figure </w:t>
      </w:r>
      <w:r w:rsidR="002229A0">
        <w:t>20</w:t>
      </w:r>
      <w:r w:rsidRPr="00361D55">
        <w:t xml:space="preserve"> below;</w:t>
      </w:r>
    </w:p>
    <w:p w:rsidR="00610495" w:rsidRDefault="00610495" w:rsidP="00610495">
      <w:pPr>
        <w:tabs>
          <w:tab w:val="left" w:pos="5103"/>
          <w:tab w:val="left" w:pos="5670"/>
          <w:tab w:val="left" w:pos="6237"/>
        </w:tabs>
        <w:rPr>
          <w:highlight w:val="green"/>
        </w:rPr>
      </w:pPr>
    </w:p>
    <w:p w:rsidR="00610495" w:rsidRDefault="00A1594B" w:rsidP="00610495">
      <w:pPr>
        <w:tabs>
          <w:tab w:val="left" w:pos="5103"/>
          <w:tab w:val="left" w:pos="5670"/>
          <w:tab w:val="left" w:pos="6237"/>
        </w:tabs>
        <w:jc w:val="center"/>
        <w:rPr>
          <w:highlight w:val="green"/>
        </w:rPr>
      </w:pPr>
      <w:r>
        <w:rPr>
          <w:noProof/>
          <w:lang w:eastAsia="en-AU"/>
        </w:rPr>
        <w:lastRenderedPageBreak/>
        <w:drawing>
          <wp:inline distT="0" distB="0" distL="0" distR="0">
            <wp:extent cx="5723890" cy="6151245"/>
            <wp:effectExtent l="0" t="0" r="0" b="190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3890" cy="6151245"/>
                    </a:xfrm>
                    <a:prstGeom prst="rect">
                      <a:avLst/>
                    </a:prstGeom>
                    <a:noFill/>
                    <a:ln>
                      <a:noFill/>
                    </a:ln>
                  </pic:spPr>
                </pic:pic>
              </a:graphicData>
            </a:graphic>
          </wp:inline>
        </w:drawing>
      </w:r>
    </w:p>
    <w:p w:rsidR="00610495" w:rsidRPr="001B4778" w:rsidRDefault="00610495" w:rsidP="00610495">
      <w:pPr>
        <w:tabs>
          <w:tab w:val="left" w:pos="5103"/>
          <w:tab w:val="left" w:pos="5670"/>
          <w:tab w:val="left" w:pos="6237"/>
        </w:tabs>
        <w:jc w:val="center"/>
        <w:rPr>
          <w:b/>
        </w:rPr>
      </w:pPr>
      <w:r w:rsidRPr="001B4778">
        <w:rPr>
          <w:b/>
          <w:sz w:val="20"/>
        </w:rPr>
        <w:t xml:space="preserve">Figure </w:t>
      </w:r>
      <w:r w:rsidR="002229A0">
        <w:rPr>
          <w:b/>
          <w:sz w:val="20"/>
        </w:rPr>
        <w:t>20</w:t>
      </w:r>
      <w:r w:rsidRPr="001B4778">
        <w:rPr>
          <w:b/>
          <w:sz w:val="20"/>
        </w:rPr>
        <w:t>: Proposed Staging plan</w:t>
      </w:r>
    </w:p>
    <w:p w:rsidR="00610495" w:rsidRDefault="00610495" w:rsidP="00610495">
      <w:pPr>
        <w:rPr>
          <w:highlight w:val="green"/>
        </w:rPr>
      </w:pPr>
    </w:p>
    <w:p w:rsidR="00610495" w:rsidRDefault="00610495" w:rsidP="00610495">
      <w:r>
        <w:t>Council do not have any specific objections to the staging of the development in this manner, provided the provision of infrastructure (Stage 1D) occurs prior to the release of allotments (Stage 1E).</w:t>
      </w:r>
    </w:p>
    <w:p w:rsidR="00610495" w:rsidRDefault="00610495" w:rsidP="00610495"/>
    <w:p w:rsidR="00610495" w:rsidRPr="006C10FD" w:rsidRDefault="00610495" w:rsidP="00610495">
      <w:pPr>
        <w:tabs>
          <w:tab w:val="left" w:pos="5103"/>
          <w:tab w:val="left" w:pos="5670"/>
          <w:tab w:val="left" w:pos="6237"/>
        </w:tabs>
        <w:rPr>
          <w:b/>
          <w:i/>
          <w:u w:val="single"/>
        </w:rPr>
      </w:pPr>
      <w:r w:rsidRPr="006C10FD">
        <w:rPr>
          <w:b/>
          <w:i/>
          <w:u w:val="single"/>
        </w:rPr>
        <w:t>Administrative changes to the conditions of approval in response to the above changes.</w:t>
      </w:r>
    </w:p>
    <w:p w:rsidR="00610495" w:rsidRDefault="00610495" w:rsidP="00610495"/>
    <w:p w:rsidR="00610495" w:rsidRDefault="00610495" w:rsidP="009C2FD4">
      <w:r w:rsidRPr="009C2FD4">
        <w:t>As outlined in the comments contained elsewhere in this report, it is considered that</w:t>
      </w:r>
      <w:r w:rsidR="009C2FD4" w:rsidRPr="009C2FD4">
        <w:t xml:space="preserve"> minor clarification/amendment</w:t>
      </w:r>
      <w:r w:rsidRPr="009C2FD4">
        <w:t xml:space="preserve"> is required with respect to the proposed modification application</w:t>
      </w:r>
      <w:r w:rsidR="009C2FD4" w:rsidRPr="009C2FD4">
        <w:t>. In the event that this is satisfactorily addressed and MOD 10 approved, it is considered likely to</w:t>
      </w:r>
      <w:r w:rsidRPr="009C2FD4">
        <w:t xml:space="preserve"> necessitate the amendment to the conditions of approval. Tweed Shire Council would welcome an opportunity to comment/review conditions of approval prior to the application being finalised.</w:t>
      </w:r>
    </w:p>
    <w:p w:rsidR="00610495" w:rsidRDefault="00610495" w:rsidP="00610495"/>
    <w:p w:rsidR="00EC3ED5" w:rsidRDefault="00EC3ED5" w:rsidP="00610495"/>
    <w:p w:rsidR="00E71949" w:rsidRPr="00E62D3D" w:rsidRDefault="00EC3ED5" w:rsidP="00EC3ED5">
      <w:pPr>
        <w:spacing w:line="252" w:lineRule="auto"/>
        <w:ind w:right="540"/>
        <w:jc w:val="both"/>
        <w:rPr>
          <w:b/>
          <w:i/>
          <w:u w:val="single"/>
        </w:rPr>
      </w:pPr>
      <w:r w:rsidRPr="00E62D3D">
        <w:rPr>
          <w:b/>
          <w:i/>
          <w:u w:val="single"/>
        </w:rPr>
        <w:t>Key amendments proposed in RtS include: </w:t>
      </w:r>
    </w:p>
    <w:p w:rsidR="00EC3ED5" w:rsidRPr="00E62D3D" w:rsidRDefault="00EC3ED5" w:rsidP="00EC3ED5">
      <w:pPr>
        <w:numPr>
          <w:ilvl w:val="0"/>
          <w:numId w:val="31"/>
        </w:numPr>
        <w:spacing w:line="252" w:lineRule="auto"/>
        <w:ind w:right="540"/>
        <w:jc w:val="both"/>
        <w:rPr>
          <w:b/>
          <w:i/>
          <w:u w:val="single"/>
        </w:rPr>
      </w:pPr>
      <w:r w:rsidRPr="00E62D3D">
        <w:rPr>
          <w:b/>
          <w:i/>
          <w:u w:val="single"/>
        </w:rPr>
        <w:t xml:space="preserve">relocation of the local road outside the 20 metre green buffer to the northern boundary; and </w:t>
      </w:r>
    </w:p>
    <w:p w:rsidR="00EC3ED5" w:rsidRPr="00E62D3D" w:rsidRDefault="00EC3ED5" w:rsidP="00EC3ED5">
      <w:pPr>
        <w:numPr>
          <w:ilvl w:val="0"/>
          <w:numId w:val="31"/>
        </w:numPr>
        <w:spacing w:line="252" w:lineRule="auto"/>
        <w:ind w:right="540"/>
        <w:jc w:val="both"/>
        <w:rPr>
          <w:b/>
          <w:i/>
          <w:u w:val="single"/>
        </w:rPr>
      </w:pPr>
      <w:r w:rsidRPr="00E62D3D">
        <w:rPr>
          <w:b/>
          <w:i/>
          <w:u w:val="single"/>
        </w:rPr>
        <w:t xml:space="preserve">an increase in lots in Stage 1E from 92 lots to 93 lots.  </w:t>
      </w:r>
    </w:p>
    <w:p w:rsidR="00EC3ED5" w:rsidRDefault="00EC3ED5" w:rsidP="00610495"/>
    <w:p w:rsidR="00A1594B" w:rsidRPr="001A4672" w:rsidRDefault="00A1594B" w:rsidP="00A1594B">
      <w:pPr>
        <w:spacing w:line="252" w:lineRule="auto"/>
        <w:ind w:right="540"/>
        <w:jc w:val="both"/>
        <w:rPr>
          <w:u w:val="single"/>
        </w:rPr>
      </w:pPr>
      <w:r w:rsidRPr="001A4672">
        <w:rPr>
          <w:u w:val="single"/>
        </w:rPr>
        <w:t>Relocation of the local road outside the 20 metre green buffer to the northern boundary</w:t>
      </w:r>
    </w:p>
    <w:p w:rsidR="00A1594B" w:rsidRDefault="00A1594B" w:rsidP="00610495"/>
    <w:p w:rsidR="00E62D3D" w:rsidRDefault="00E62D3D" w:rsidP="00E62D3D">
      <w:pPr>
        <w:rPr>
          <w:rFonts w:ascii="Arial" w:hAnsi="Arial"/>
          <w:i/>
        </w:rPr>
      </w:pPr>
      <w:r>
        <w:t>The background with respect to the 20m green buffer to the northern boundary is detailed elsewhere in this report (</w:t>
      </w:r>
      <w:r w:rsidRPr="00E62D3D">
        <w:t xml:space="preserve">under </w:t>
      </w:r>
      <w:r>
        <w:t>‘</w:t>
      </w:r>
      <w:r w:rsidRPr="00E62D3D">
        <w:t>re</w:t>
      </w:r>
      <w:r w:rsidRPr="00E62D3D">
        <w:rPr>
          <w:rFonts w:ascii="Arial" w:hAnsi="Arial"/>
        </w:rPr>
        <w:t>vise the drainage concept to facilitate the filling of an existing drainage swale and its conversion to a ‘green buffer</w:t>
      </w:r>
      <w:r w:rsidRPr="00E62D3D">
        <w:rPr>
          <w:rFonts w:ascii="Arial" w:hAnsi="Arial"/>
          <w:i/>
        </w:rPr>
        <w:t>’</w:t>
      </w:r>
      <w:r>
        <w:rPr>
          <w:rFonts w:ascii="Arial" w:hAnsi="Arial"/>
          <w:i/>
        </w:rPr>
        <w:t xml:space="preserve"> </w:t>
      </w:r>
      <w:r w:rsidRPr="00E62D3D">
        <w:rPr>
          <w:rFonts w:ascii="Arial" w:hAnsi="Arial"/>
        </w:rPr>
        <w:t>heading)</w:t>
      </w:r>
      <w:r>
        <w:rPr>
          <w:rFonts w:ascii="Arial" w:hAnsi="Arial"/>
          <w:i/>
        </w:rPr>
        <w:t>.</w:t>
      </w:r>
    </w:p>
    <w:p w:rsidR="00E62D3D" w:rsidRDefault="00E62D3D" w:rsidP="00E62D3D">
      <w:pPr>
        <w:rPr>
          <w:rFonts w:ascii="Arial" w:hAnsi="Arial"/>
          <w:i/>
        </w:rPr>
      </w:pPr>
    </w:p>
    <w:p w:rsidR="001A4672" w:rsidRPr="001A4672" w:rsidRDefault="001A4672" w:rsidP="00E62D3D">
      <w:pPr>
        <w:rPr>
          <w:rFonts w:ascii="Arial" w:hAnsi="Arial"/>
        </w:rPr>
      </w:pPr>
      <w:r w:rsidRPr="001A4672">
        <w:rPr>
          <w:rFonts w:ascii="Arial" w:hAnsi="Arial"/>
        </w:rPr>
        <w:t>Through the Response to Submissions the proponent has amended the application to reinstate the 20m green buffer</w:t>
      </w:r>
      <w:r>
        <w:rPr>
          <w:rFonts w:ascii="Arial" w:hAnsi="Arial"/>
        </w:rPr>
        <w:t xml:space="preserve"> where it adjoins residential accommodation to the north</w:t>
      </w:r>
      <w:r w:rsidRPr="001A4672">
        <w:rPr>
          <w:rFonts w:ascii="Arial" w:hAnsi="Arial"/>
        </w:rPr>
        <w:t>, as demonstrated in figure</w:t>
      </w:r>
      <w:r w:rsidR="002229A0">
        <w:rPr>
          <w:rFonts w:ascii="Arial" w:hAnsi="Arial"/>
        </w:rPr>
        <w:t xml:space="preserve"> 21</w:t>
      </w:r>
      <w:r w:rsidRPr="001A4672">
        <w:rPr>
          <w:rFonts w:ascii="Arial" w:hAnsi="Arial"/>
        </w:rPr>
        <w:t xml:space="preserve"> below;</w:t>
      </w:r>
    </w:p>
    <w:p w:rsidR="001A4672" w:rsidRDefault="001A4672" w:rsidP="00E62D3D">
      <w:pPr>
        <w:rPr>
          <w:rFonts w:ascii="Arial" w:hAnsi="Arial"/>
          <w:highlight w:val="yellow"/>
        </w:rPr>
      </w:pPr>
    </w:p>
    <w:p w:rsidR="001A4672" w:rsidRDefault="001A4672" w:rsidP="001A4672">
      <w:pPr>
        <w:rPr>
          <w:szCs w:val="21"/>
          <w:lang w:eastAsia="en-AU"/>
        </w:rPr>
      </w:pPr>
      <w:r>
        <w:rPr>
          <w:noProof/>
          <w:szCs w:val="21"/>
          <w:lang w:eastAsia="en-AU"/>
        </w:rPr>
        <w:drawing>
          <wp:inline distT="0" distB="0" distL="0" distR="0" wp14:anchorId="26F693D7" wp14:editId="5C926A8F">
            <wp:extent cx="5723890" cy="1840865"/>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3890" cy="1840865"/>
                    </a:xfrm>
                    <a:prstGeom prst="rect">
                      <a:avLst/>
                    </a:prstGeom>
                    <a:noFill/>
                    <a:ln>
                      <a:noFill/>
                    </a:ln>
                  </pic:spPr>
                </pic:pic>
              </a:graphicData>
            </a:graphic>
          </wp:inline>
        </w:drawing>
      </w:r>
    </w:p>
    <w:p w:rsidR="001A4672" w:rsidRPr="00E14CFE" w:rsidRDefault="001A4672" w:rsidP="001A4672">
      <w:pPr>
        <w:tabs>
          <w:tab w:val="left" w:pos="5103"/>
          <w:tab w:val="left" w:pos="5670"/>
          <w:tab w:val="left" w:pos="6237"/>
        </w:tabs>
        <w:jc w:val="center"/>
        <w:rPr>
          <w:b/>
        </w:rPr>
      </w:pPr>
      <w:r w:rsidRPr="00E14CFE">
        <w:rPr>
          <w:b/>
          <w:sz w:val="20"/>
        </w:rPr>
        <w:t>Figure</w:t>
      </w:r>
      <w:r w:rsidR="002229A0">
        <w:rPr>
          <w:b/>
          <w:sz w:val="20"/>
        </w:rPr>
        <w:t xml:space="preserve"> 21</w:t>
      </w:r>
      <w:r w:rsidRPr="00E14CFE">
        <w:rPr>
          <w:b/>
          <w:sz w:val="20"/>
        </w:rPr>
        <w:t xml:space="preserve">: North Boundary Treatment with road </w:t>
      </w:r>
    </w:p>
    <w:p w:rsidR="001A4672" w:rsidRPr="00891854" w:rsidRDefault="001A4672" w:rsidP="00E62D3D">
      <w:pPr>
        <w:rPr>
          <w:rFonts w:ascii="Arial" w:hAnsi="Arial"/>
          <w:highlight w:val="yellow"/>
        </w:rPr>
      </w:pPr>
    </w:p>
    <w:p w:rsidR="009C2FD4" w:rsidRDefault="001A4672" w:rsidP="00610495">
      <w:r w:rsidRPr="001A4672">
        <w:rPr>
          <w:rFonts w:ascii="Arial" w:hAnsi="Arial"/>
        </w:rPr>
        <w:t>Th</w:t>
      </w:r>
      <w:r>
        <w:rPr>
          <w:rFonts w:ascii="Arial" w:hAnsi="Arial"/>
        </w:rPr>
        <w:t>is is supported by Council staff.</w:t>
      </w:r>
    </w:p>
    <w:p w:rsidR="009C2FD4" w:rsidRDefault="009C2FD4" w:rsidP="00610495"/>
    <w:p w:rsidR="00A1594B" w:rsidRPr="001A4672" w:rsidRDefault="00A1594B" w:rsidP="00A1594B">
      <w:pPr>
        <w:spacing w:line="252" w:lineRule="auto"/>
        <w:ind w:right="540"/>
        <w:jc w:val="both"/>
        <w:rPr>
          <w:u w:val="single"/>
        </w:rPr>
      </w:pPr>
      <w:r w:rsidRPr="001A4672">
        <w:rPr>
          <w:u w:val="single"/>
        </w:rPr>
        <w:t xml:space="preserve">Increase in lots in Stage 1E from 92 lots to 93 lots.  </w:t>
      </w:r>
    </w:p>
    <w:p w:rsidR="00A1594B" w:rsidRDefault="00A1594B" w:rsidP="00610495">
      <w:r>
        <w:t xml:space="preserve">An additional allotment is now proposed as part of the Casuarina Town Centre to the </w:t>
      </w:r>
      <w:r w:rsidRPr="002229A0">
        <w:t>highlighted area below</w:t>
      </w:r>
      <w:r>
        <w:t xml:space="preserve"> from the layout submitted under the original MOD 10 application. It is noted that this area is not subject to a minimum lot size under Tweed Local Environmental Plan 2014. Council officers raise no objection to this additional allotment.</w:t>
      </w:r>
    </w:p>
    <w:p w:rsidR="00A1594B" w:rsidRDefault="00A1594B" w:rsidP="00610495"/>
    <w:p w:rsidR="009C2FD4" w:rsidRPr="009C2FD4" w:rsidRDefault="009C2FD4" w:rsidP="00610495">
      <w:pPr>
        <w:rPr>
          <w:u w:val="single"/>
        </w:rPr>
      </w:pPr>
    </w:p>
    <w:p w:rsidR="009C2FD4" w:rsidRDefault="009C2FD4" w:rsidP="009C2FD4">
      <w:pPr>
        <w:ind w:firstLine="567"/>
      </w:pPr>
      <w:r>
        <w:rPr>
          <w:noProof/>
          <w:lang w:eastAsia="en-AU"/>
        </w:rPr>
        <w:lastRenderedPageBreak/>
        <w:drawing>
          <wp:inline distT="0" distB="0" distL="0" distR="0">
            <wp:extent cx="5596804" cy="3298371"/>
            <wp:effectExtent l="0" t="0" r="4445"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597627" cy="3298856"/>
                    </a:xfrm>
                    <a:prstGeom prst="rect">
                      <a:avLst/>
                    </a:prstGeom>
                    <a:noFill/>
                    <a:ln>
                      <a:noFill/>
                    </a:ln>
                  </pic:spPr>
                </pic:pic>
              </a:graphicData>
            </a:graphic>
          </wp:inline>
        </w:drawing>
      </w:r>
    </w:p>
    <w:p w:rsidR="002229A0" w:rsidRPr="00E14CFE" w:rsidRDefault="002229A0" w:rsidP="002229A0">
      <w:pPr>
        <w:tabs>
          <w:tab w:val="left" w:pos="5103"/>
          <w:tab w:val="left" w:pos="5670"/>
          <w:tab w:val="left" w:pos="6237"/>
        </w:tabs>
        <w:jc w:val="center"/>
        <w:rPr>
          <w:b/>
        </w:rPr>
      </w:pPr>
      <w:r w:rsidRPr="00E14CFE">
        <w:rPr>
          <w:b/>
          <w:sz w:val="20"/>
        </w:rPr>
        <w:t>Figure</w:t>
      </w:r>
      <w:r>
        <w:rPr>
          <w:b/>
          <w:sz w:val="20"/>
        </w:rPr>
        <w:t xml:space="preserve"> 22</w:t>
      </w:r>
      <w:r w:rsidRPr="00E14CFE">
        <w:rPr>
          <w:b/>
          <w:sz w:val="20"/>
        </w:rPr>
        <w:t xml:space="preserve">: </w:t>
      </w:r>
      <w:r>
        <w:rPr>
          <w:b/>
          <w:sz w:val="20"/>
        </w:rPr>
        <w:t>Additional allotment</w:t>
      </w:r>
      <w:r w:rsidRPr="00E14CFE">
        <w:rPr>
          <w:b/>
          <w:sz w:val="20"/>
        </w:rPr>
        <w:t xml:space="preserve"> </w:t>
      </w:r>
    </w:p>
    <w:p w:rsidR="00E71949" w:rsidRDefault="00E71949" w:rsidP="00610495"/>
    <w:p w:rsidR="00610495" w:rsidRPr="00AF1F4C" w:rsidRDefault="00610495" w:rsidP="00610495">
      <w:pPr>
        <w:keepNext/>
        <w:keepLines/>
        <w:rPr>
          <w:b/>
          <w:u w:val="single"/>
        </w:rPr>
      </w:pPr>
      <w:r w:rsidRPr="00AF1F4C">
        <w:rPr>
          <w:b/>
          <w:u w:val="single"/>
        </w:rPr>
        <w:t>Miscellaneous</w:t>
      </w:r>
    </w:p>
    <w:p w:rsidR="00CB1F28" w:rsidRPr="00AF1F4C" w:rsidRDefault="00610495" w:rsidP="000C1DA9">
      <w:pPr>
        <w:keepNext/>
        <w:keepLines/>
        <w:rPr>
          <w:u w:val="single"/>
        </w:rPr>
      </w:pPr>
      <w:r w:rsidRPr="00AF1F4C">
        <w:rPr>
          <w:u w:val="single"/>
        </w:rPr>
        <w:t xml:space="preserve">Owners consent/ </w:t>
      </w:r>
      <w:r w:rsidR="00CB1F28" w:rsidRPr="00AF1F4C">
        <w:rPr>
          <w:u w:val="single"/>
        </w:rPr>
        <w:t>Plan of Management</w:t>
      </w:r>
      <w:r w:rsidR="00AF1F4C" w:rsidRPr="00AF1F4C">
        <w:rPr>
          <w:u w:val="single"/>
        </w:rPr>
        <w:t xml:space="preserve"> </w:t>
      </w:r>
      <w:r w:rsidR="00AF1F4C" w:rsidRPr="00AF1F4C">
        <w:rPr>
          <w:rFonts w:asciiTheme="minorHAnsi" w:hAnsiTheme="minorHAnsi" w:cstheme="minorHAnsi"/>
          <w:u w:val="single"/>
        </w:rPr>
        <w:t>for LOT 13 DP 1014470</w:t>
      </w:r>
    </w:p>
    <w:p w:rsidR="00CB1F28" w:rsidRPr="004C00BC" w:rsidRDefault="00CB1F28" w:rsidP="00CB1F28"/>
    <w:p w:rsidR="00AF1F4C" w:rsidRPr="004C00BC" w:rsidRDefault="00AF1F4C" w:rsidP="00AF1F4C">
      <w:r w:rsidRPr="004C00BC">
        <w:rPr>
          <w:rFonts w:asciiTheme="minorHAnsi" w:hAnsiTheme="minorHAnsi" w:cstheme="minorHAnsi"/>
        </w:rPr>
        <w:t>The proposed modifications to Casuarina Town Centre include works on Council owned Community Land (</w:t>
      </w:r>
      <w:r w:rsidRPr="004C00BC">
        <w:t>Lot 13 DP 1014470)</w:t>
      </w:r>
      <w:r w:rsidRPr="004C00BC">
        <w:rPr>
          <w:rFonts w:asciiTheme="minorHAnsi" w:hAnsiTheme="minorHAnsi" w:cstheme="minorHAnsi"/>
        </w:rPr>
        <w:t>. See area highlighted</w:t>
      </w:r>
      <w:r w:rsidR="004C00BC">
        <w:rPr>
          <w:rFonts w:asciiTheme="minorHAnsi" w:hAnsiTheme="minorHAnsi" w:cstheme="minorHAnsi"/>
        </w:rPr>
        <w:t xml:space="preserve"> and in yellow</w:t>
      </w:r>
      <w:r w:rsidRPr="004C00BC">
        <w:rPr>
          <w:rFonts w:asciiTheme="minorHAnsi" w:hAnsiTheme="minorHAnsi" w:cstheme="minorHAnsi"/>
        </w:rPr>
        <w:t xml:space="preserve"> below;</w:t>
      </w:r>
    </w:p>
    <w:p w:rsidR="00AF1F4C" w:rsidRPr="004C00BC" w:rsidRDefault="00AF1F4C" w:rsidP="00CB1F28"/>
    <w:p w:rsidR="00AF1F4C" w:rsidRPr="004C00BC" w:rsidRDefault="00AF1F4C" w:rsidP="00AF1F4C">
      <w:pPr>
        <w:jc w:val="center"/>
      </w:pPr>
      <w:r w:rsidRPr="004C00BC">
        <w:rPr>
          <w:noProof/>
          <w:lang w:eastAsia="en-AU"/>
        </w:rPr>
        <w:drawing>
          <wp:inline distT="0" distB="0" distL="0" distR="0" wp14:anchorId="2324EE91" wp14:editId="5AE0F8E8">
            <wp:extent cx="3893837" cy="2723744"/>
            <wp:effectExtent l="0" t="0" r="0" b="635"/>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894770" cy="2724396"/>
                    </a:xfrm>
                    <a:prstGeom prst="rect">
                      <a:avLst/>
                    </a:prstGeom>
                    <a:noFill/>
                    <a:ln>
                      <a:noFill/>
                    </a:ln>
                  </pic:spPr>
                </pic:pic>
              </a:graphicData>
            </a:graphic>
          </wp:inline>
        </w:drawing>
      </w:r>
    </w:p>
    <w:p w:rsidR="002229A0" w:rsidRDefault="002229A0" w:rsidP="002229A0">
      <w:pPr>
        <w:tabs>
          <w:tab w:val="left" w:pos="5103"/>
          <w:tab w:val="left" w:pos="5670"/>
          <w:tab w:val="left" w:pos="6237"/>
        </w:tabs>
        <w:jc w:val="center"/>
      </w:pPr>
      <w:r w:rsidRPr="00E14CFE">
        <w:rPr>
          <w:b/>
          <w:sz w:val="20"/>
        </w:rPr>
        <w:t>Figure</w:t>
      </w:r>
      <w:r>
        <w:rPr>
          <w:b/>
          <w:sz w:val="20"/>
        </w:rPr>
        <w:t xml:space="preserve"> 23</w:t>
      </w:r>
      <w:r w:rsidRPr="00E14CFE">
        <w:rPr>
          <w:b/>
          <w:sz w:val="20"/>
        </w:rPr>
        <w:t xml:space="preserve">: </w:t>
      </w:r>
      <w:r>
        <w:rPr>
          <w:b/>
          <w:sz w:val="20"/>
        </w:rPr>
        <w:t>Lot 13 DP 1014470</w:t>
      </w:r>
    </w:p>
    <w:p w:rsidR="00AF1F4C" w:rsidRPr="004C00BC" w:rsidRDefault="00AF1F4C" w:rsidP="00AF1F4C"/>
    <w:p w:rsidR="00AF1F4C" w:rsidRPr="004C00BC" w:rsidRDefault="00AF1F4C" w:rsidP="00AF1F4C">
      <w:r w:rsidRPr="004C00BC">
        <w:t>In association with the Casuarina Town Centre Concept Plan this land was always intended to be used for some form of park and public infrastructure however the details of this space have now been further confirmed in MOD 10 and outlined in the lodgement of a “Plan of Management” for this area which has resulted from a major amendment to the stormwater drainage system for the site.</w:t>
      </w:r>
    </w:p>
    <w:p w:rsidR="00AF1F4C" w:rsidRPr="004C00BC" w:rsidRDefault="00AF1F4C" w:rsidP="00CB1F28"/>
    <w:p w:rsidR="00AF1F4C" w:rsidRDefault="00AF1F4C" w:rsidP="00AF1F4C">
      <w:pPr>
        <w:pStyle w:val="Pa14"/>
        <w:spacing w:after="20"/>
        <w:rPr>
          <w:rFonts w:asciiTheme="minorHAnsi" w:hAnsiTheme="minorHAnsi" w:cstheme="minorHAnsi"/>
        </w:rPr>
      </w:pPr>
      <w:r w:rsidRPr="004C00BC">
        <w:rPr>
          <w:rFonts w:asciiTheme="minorHAnsi" w:hAnsiTheme="minorHAnsi" w:cstheme="minorHAnsi"/>
        </w:rPr>
        <w:t>At the Council meeting held on 21 September 2017, C</w:t>
      </w:r>
      <w:r w:rsidRPr="00AF1F4C">
        <w:rPr>
          <w:rFonts w:asciiTheme="minorHAnsi" w:hAnsiTheme="minorHAnsi" w:cstheme="minorHAnsi"/>
        </w:rPr>
        <w:t xml:space="preserve">ouncil resolved to place </w:t>
      </w:r>
      <w:r w:rsidR="004C00BC">
        <w:rPr>
          <w:rFonts w:asciiTheme="minorHAnsi" w:hAnsiTheme="minorHAnsi" w:cstheme="minorHAnsi"/>
        </w:rPr>
        <w:t>a</w:t>
      </w:r>
      <w:r w:rsidRPr="00AF1F4C">
        <w:rPr>
          <w:rFonts w:asciiTheme="minorHAnsi" w:hAnsiTheme="minorHAnsi" w:cstheme="minorHAnsi"/>
        </w:rPr>
        <w:t xml:space="preserve"> draft Plan of Management for LOT 13 DP 1014470 on public exhibition. The draft Plan of Management will be on public exhibition from 8 November 2017 to 6 December 2017, with submissions being accepted until 20 December 2017. </w:t>
      </w:r>
    </w:p>
    <w:p w:rsidR="00F93A34" w:rsidRDefault="00F93A34" w:rsidP="00AF1F4C">
      <w:pPr>
        <w:pStyle w:val="Pa14"/>
        <w:spacing w:after="20"/>
        <w:rPr>
          <w:rFonts w:asciiTheme="minorHAnsi" w:hAnsiTheme="minorHAnsi" w:cstheme="minorHAnsi"/>
        </w:rPr>
      </w:pPr>
    </w:p>
    <w:p w:rsidR="00F93A34" w:rsidRDefault="00F93A34" w:rsidP="00AF1F4C">
      <w:pPr>
        <w:pStyle w:val="Pa14"/>
        <w:spacing w:after="20"/>
        <w:rPr>
          <w:rFonts w:asciiTheme="minorHAnsi" w:hAnsiTheme="minorHAnsi" w:cstheme="minorHAnsi"/>
        </w:rPr>
      </w:pPr>
      <w:r>
        <w:rPr>
          <w:rFonts w:asciiTheme="minorHAnsi" w:hAnsiTheme="minorHAnsi" w:cstheme="minorHAnsi"/>
        </w:rPr>
        <w:t>Prior t</w:t>
      </w:r>
      <w:r w:rsidR="003A7DFD">
        <w:rPr>
          <w:rFonts w:asciiTheme="minorHAnsi" w:hAnsiTheme="minorHAnsi" w:cstheme="minorHAnsi"/>
        </w:rPr>
        <w:t>o</w:t>
      </w:r>
      <w:r>
        <w:rPr>
          <w:rFonts w:asciiTheme="minorHAnsi" w:hAnsiTheme="minorHAnsi" w:cstheme="minorHAnsi"/>
        </w:rPr>
        <w:t xml:space="preserve"> finalising the MOD 10 application, NSW Planning are requested to confirm with Council that the Plan of Management has been adopted by Tweed Shire Council to ensure that the works proposed as part of this application are reflected in the Plan of Management for Lot 13 DP 1014470</w:t>
      </w:r>
    </w:p>
    <w:p w:rsidR="00F93A34" w:rsidRDefault="00F93A34" w:rsidP="00AF1F4C">
      <w:pPr>
        <w:pStyle w:val="Pa14"/>
        <w:spacing w:after="20"/>
        <w:rPr>
          <w:rFonts w:asciiTheme="minorHAnsi" w:hAnsiTheme="minorHAnsi" w:cstheme="minorHAnsi"/>
        </w:rPr>
      </w:pPr>
    </w:p>
    <w:p w:rsidR="000C1DA9" w:rsidRDefault="000C1DA9" w:rsidP="00CB1F28">
      <w:pPr>
        <w:rPr>
          <w:color w:val="FF3A90" w:themeColor="accent4" w:themeTint="99"/>
        </w:rPr>
      </w:pPr>
    </w:p>
    <w:p w:rsidR="00610495" w:rsidRDefault="00610495" w:rsidP="00610495">
      <w:pPr>
        <w:rPr>
          <w:b/>
        </w:rPr>
      </w:pPr>
      <w:r>
        <w:rPr>
          <w:b/>
        </w:rPr>
        <w:t>OPTIONS:</w:t>
      </w:r>
    </w:p>
    <w:p w:rsidR="00610495" w:rsidRDefault="00610495" w:rsidP="00610495"/>
    <w:p w:rsidR="00610495" w:rsidRDefault="00610495" w:rsidP="00610495">
      <w:pPr>
        <w:ind w:left="567" w:hanging="567"/>
      </w:pPr>
      <w:r>
        <w:t>1.</w:t>
      </w:r>
      <w:r>
        <w:tab/>
        <w:t>Council endorses the comments to be submitted to NSW Planning &amp; Environment with regard to</w:t>
      </w:r>
      <w:r w:rsidR="00B80BD5">
        <w:t xml:space="preserve"> Response to Submissions (RtS) on</w:t>
      </w:r>
      <w:r>
        <w:t xml:space="preserve"> modifications of the Concept Approval and Project Approval relating to Casuarina Town Centre (MP06_0258) MOD 10; or</w:t>
      </w:r>
    </w:p>
    <w:p w:rsidR="00610495" w:rsidRDefault="00610495" w:rsidP="00610495"/>
    <w:p w:rsidR="00610495" w:rsidRDefault="00610495" w:rsidP="00610495">
      <w:pPr>
        <w:ind w:left="567" w:hanging="567"/>
      </w:pPr>
      <w:r>
        <w:t>2.</w:t>
      </w:r>
      <w:r>
        <w:tab/>
        <w:t>Council does not endorse the attached comments to be submitted to NSW Planning &amp; Environment and either provides amended comments or elects to make no submission on this Modification application.</w:t>
      </w:r>
    </w:p>
    <w:p w:rsidR="00610495" w:rsidRDefault="00610495" w:rsidP="00610495">
      <w:pPr>
        <w:ind w:left="567" w:hanging="567"/>
      </w:pPr>
    </w:p>
    <w:p w:rsidR="00610495" w:rsidRDefault="00610495" w:rsidP="00610495">
      <w:r>
        <w:t>Council officers recommend Option 1.</w:t>
      </w:r>
    </w:p>
    <w:p w:rsidR="00610495" w:rsidRDefault="00610495" w:rsidP="00610495"/>
    <w:p w:rsidR="00610495" w:rsidRDefault="00610495" w:rsidP="00610495">
      <w:pPr>
        <w:rPr>
          <w:b/>
        </w:rPr>
      </w:pPr>
      <w:r>
        <w:rPr>
          <w:b/>
        </w:rPr>
        <w:t>CONCLUSION:</w:t>
      </w:r>
    </w:p>
    <w:p w:rsidR="00610495" w:rsidRDefault="00610495" w:rsidP="00610495">
      <w:pPr>
        <w:rPr>
          <w:highlight w:val="yellow"/>
        </w:rPr>
      </w:pPr>
    </w:p>
    <w:p w:rsidR="00610495" w:rsidRPr="00A14CCD" w:rsidRDefault="00610495" w:rsidP="00610495">
      <w:r w:rsidRPr="00A14CCD">
        <w:t xml:space="preserve">It is considered that additional information and possible design amendments are required in order for the proposed modification to receive the </w:t>
      </w:r>
      <w:r w:rsidR="00B80BD5">
        <w:t xml:space="preserve">conditional </w:t>
      </w:r>
      <w:r w:rsidRPr="00A14CCD">
        <w:t>support of Tweed Shire Council, as outlined in the above report. It is recommended that the Department of Planning and Environment be advised of this and requested to take Council comments into account when assessing the modification application.</w:t>
      </w:r>
    </w:p>
    <w:p w:rsidR="00610495" w:rsidRDefault="00610495" w:rsidP="00610495"/>
    <w:p w:rsidR="00610495" w:rsidRDefault="00610495" w:rsidP="00610495">
      <w:pPr>
        <w:rPr>
          <w:b/>
        </w:rPr>
      </w:pPr>
      <w:r>
        <w:rPr>
          <w:b/>
        </w:rPr>
        <w:t>COUNCIL IMPLICATIONS:</w:t>
      </w:r>
    </w:p>
    <w:p w:rsidR="00610495" w:rsidRDefault="00610495" w:rsidP="00610495">
      <w:pPr>
        <w:rPr>
          <w:b/>
        </w:rPr>
      </w:pPr>
    </w:p>
    <w:p w:rsidR="00610495" w:rsidRDefault="00610495" w:rsidP="00610495">
      <w:pPr>
        <w:tabs>
          <w:tab w:val="left" w:pos="4842"/>
        </w:tabs>
        <w:rPr>
          <w:b/>
        </w:rPr>
      </w:pPr>
      <w:r>
        <w:rPr>
          <w:b/>
        </w:rPr>
        <w:t>a.</w:t>
      </w:r>
      <w:r>
        <w:rPr>
          <w:b/>
        </w:rPr>
        <w:tab/>
        <w:t>Policy:</w:t>
      </w:r>
    </w:p>
    <w:p w:rsidR="00610495" w:rsidRDefault="00610495" w:rsidP="00610495">
      <w:pPr>
        <w:tabs>
          <w:tab w:val="left" w:pos="4842"/>
        </w:tabs>
      </w:pPr>
      <w:r>
        <w:t>Corporate Policy Not Applicable.</w:t>
      </w:r>
    </w:p>
    <w:p w:rsidR="00610495" w:rsidRDefault="00610495" w:rsidP="00610495">
      <w:pPr>
        <w:tabs>
          <w:tab w:val="left" w:pos="4842"/>
        </w:tabs>
      </w:pPr>
    </w:p>
    <w:p w:rsidR="00610495" w:rsidRDefault="00610495" w:rsidP="00610495">
      <w:pPr>
        <w:tabs>
          <w:tab w:val="left" w:pos="4842"/>
        </w:tabs>
        <w:rPr>
          <w:b/>
        </w:rPr>
      </w:pPr>
      <w:r>
        <w:rPr>
          <w:b/>
        </w:rPr>
        <w:t>b.</w:t>
      </w:r>
      <w:r>
        <w:rPr>
          <w:b/>
        </w:rPr>
        <w:tab/>
        <w:t>Budget/Long Term Financial Plan:</w:t>
      </w:r>
    </w:p>
    <w:p w:rsidR="00610495" w:rsidRDefault="00610495" w:rsidP="00610495">
      <w:r>
        <w:t>Not Applicable.</w:t>
      </w:r>
    </w:p>
    <w:p w:rsidR="00610495" w:rsidRDefault="00610495" w:rsidP="00610495">
      <w:pPr>
        <w:tabs>
          <w:tab w:val="left" w:pos="4842"/>
        </w:tabs>
      </w:pPr>
    </w:p>
    <w:p w:rsidR="00610495" w:rsidRDefault="00610495" w:rsidP="00610495">
      <w:pPr>
        <w:rPr>
          <w:b/>
        </w:rPr>
      </w:pPr>
      <w:r>
        <w:rPr>
          <w:b/>
        </w:rPr>
        <w:t>c.</w:t>
      </w:r>
      <w:r>
        <w:rPr>
          <w:b/>
        </w:rPr>
        <w:tab/>
        <w:t>Legal:</w:t>
      </w:r>
    </w:p>
    <w:p w:rsidR="00610495" w:rsidRDefault="00610495" w:rsidP="00610495">
      <w:r>
        <w:t>Not Applicable.</w:t>
      </w:r>
    </w:p>
    <w:p w:rsidR="00610495" w:rsidRDefault="00610495" w:rsidP="00610495"/>
    <w:p w:rsidR="00610495" w:rsidRDefault="00610495" w:rsidP="00610495">
      <w:pPr>
        <w:tabs>
          <w:tab w:val="left" w:pos="4842"/>
        </w:tabs>
        <w:rPr>
          <w:b/>
        </w:rPr>
      </w:pPr>
      <w:r>
        <w:rPr>
          <w:b/>
        </w:rPr>
        <w:t>d.</w:t>
      </w:r>
      <w:r>
        <w:rPr>
          <w:b/>
        </w:rPr>
        <w:tab/>
        <w:t>Communication/Engagement:</w:t>
      </w:r>
    </w:p>
    <w:p w:rsidR="00610495" w:rsidRDefault="00610495" w:rsidP="00610495">
      <w:pPr>
        <w:tabs>
          <w:tab w:val="left" w:pos="4842"/>
        </w:tabs>
      </w:pPr>
      <w:r>
        <w:t>Not Applicable.</w:t>
      </w:r>
    </w:p>
    <w:p w:rsidR="00610495" w:rsidRDefault="00610495" w:rsidP="00610495"/>
    <w:p w:rsidR="00610495" w:rsidRPr="00302F95" w:rsidRDefault="00610495" w:rsidP="00610495">
      <w:pPr>
        <w:pStyle w:val="Heading2"/>
      </w:pPr>
      <w:r w:rsidRPr="00302F95">
        <w:lastRenderedPageBreak/>
        <w:t>UNDER SEPARATE COVER/FURTHER INFORMATION:</w:t>
      </w:r>
    </w:p>
    <w:p w:rsidR="00610495" w:rsidRDefault="00610495" w:rsidP="00610495">
      <w:pPr>
        <w:pBdr>
          <w:top w:val="threeDEmboss" w:sz="24" w:space="1" w:color="auto"/>
        </w:pBdr>
      </w:pPr>
    </w:p>
    <w:p w:rsidR="00F93A34" w:rsidRPr="006D751F" w:rsidRDefault="00F93A34" w:rsidP="00F93A34">
      <w:pPr>
        <w:tabs>
          <w:tab w:val="left" w:pos="3402"/>
        </w:tabs>
        <w:ind w:left="3402" w:hanging="3402"/>
      </w:pPr>
      <w:r w:rsidRPr="006D751F">
        <w:t>Attachment 1.</w:t>
      </w:r>
      <w:r w:rsidRPr="006D751F">
        <w:tab/>
        <w:t>DA10/0226.26 Council Report - 21 April 2016 (ECM 4759627)</w:t>
      </w:r>
    </w:p>
    <w:p w:rsidR="00F93A34" w:rsidRPr="006D751F" w:rsidRDefault="00F93A34" w:rsidP="00F93A34">
      <w:pPr>
        <w:tabs>
          <w:tab w:val="left" w:pos="3402"/>
        </w:tabs>
        <w:ind w:left="3402" w:hanging="3402"/>
      </w:pPr>
    </w:p>
    <w:p w:rsidR="00F93A34" w:rsidRPr="006D751F" w:rsidRDefault="00F93A34" w:rsidP="00F93A34">
      <w:pPr>
        <w:tabs>
          <w:tab w:val="left" w:pos="3402"/>
        </w:tabs>
        <w:ind w:left="3402" w:hanging="3402"/>
      </w:pPr>
      <w:r w:rsidRPr="006D751F">
        <w:t>Attachment 2.</w:t>
      </w:r>
      <w:r w:rsidRPr="006D751F">
        <w:tab/>
        <w:t xml:space="preserve">DA10/0226.26 </w:t>
      </w:r>
      <w:r w:rsidR="006D751F" w:rsidRPr="006D751F">
        <w:t xml:space="preserve">Council Report – 21 September 2017 </w:t>
      </w:r>
      <w:r w:rsidRPr="006D751F">
        <w:t>Draft Plan of Management (ECM 4759</w:t>
      </w:r>
      <w:r w:rsidR="006D751F" w:rsidRPr="006D751F">
        <w:t>581</w:t>
      </w:r>
      <w:r w:rsidRPr="006D751F">
        <w:t>)</w:t>
      </w:r>
    </w:p>
    <w:p w:rsidR="00F93A34" w:rsidRDefault="00F93A34" w:rsidP="00F93A34">
      <w:pPr>
        <w:rPr>
          <w:b/>
          <w:color w:val="FF0000"/>
        </w:rPr>
      </w:pPr>
    </w:p>
    <w:p w:rsidR="00F93A34" w:rsidRDefault="00F93A34" w:rsidP="00610495">
      <w:pPr>
        <w:pBdr>
          <w:top w:val="threeDEmboss" w:sz="24" w:space="1" w:color="auto"/>
        </w:pBdr>
      </w:pPr>
    </w:p>
    <w:sectPr w:rsidR="00F93A34" w:rsidSect="0073599F">
      <w:pgSz w:w="11906" w:h="16838" w:code="9"/>
      <w:pgMar w:top="1440" w:right="1440" w:bottom="1440" w:left="1440" w:header="737" w:footer="567"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6926" w:rsidRDefault="004D6926" w:rsidP="006D1343">
      <w:r>
        <w:separator/>
      </w:r>
    </w:p>
  </w:endnote>
  <w:endnote w:type="continuationSeparator" w:id="0">
    <w:p w:rsidR="004D6926" w:rsidRDefault="004D6926" w:rsidP="006D134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NeueLT Std Cn">
    <w:altName w:val="Times New Roman"/>
    <w:charset w:val="00"/>
    <w:family w:val="auto"/>
    <w:pitch w:val="default"/>
  </w:font>
  <w:font w:name="Calibri">
    <w:panose1 w:val="020F05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EurostileRegular">
    <w:panose1 w:val="00000000000000000000"/>
    <w:charset w:val="00"/>
    <w:family w:val="swiss"/>
    <w:notTrueType/>
    <w:pitch w:val="default"/>
    <w:sig w:usb0="00000003" w:usb1="00000000" w:usb2="000000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6926" w:rsidRDefault="004D6926" w:rsidP="006D1343">
      <w:r>
        <w:separator/>
      </w:r>
    </w:p>
  </w:footnote>
  <w:footnote w:type="continuationSeparator" w:id="0">
    <w:p w:rsidR="004D6926" w:rsidRDefault="004D6926" w:rsidP="006D134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E744DB1C"/>
    <w:lvl w:ilvl="0">
      <w:start w:val="1"/>
      <w:numFmt w:val="decimal"/>
      <w:lvlText w:val="%1."/>
      <w:lvlJc w:val="left"/>
      <w:pPr>
        <w:tabs>
          <w:tab w:val="num" w:pos="1492"/>
        </w:tabs>
        <w:ind w:left="1492" w:hanging="360"/>
      </w:pPr>
    </w:lvl>
  </w:abstractNum>
  <w:abstractNum w:abstractNumId="1">
    <w:nsid w:val="FFFFFF7D"/>
    <w:multiLevelType w:val="singleLevel"/>
    <w:tmpl w:val="D4402FC8"/>
    <w:lvl w:ilvl="0">
      <w:start w:val="1"/>
      <w:numFmt w:val="decimal"/>
      <w:lvlText w:val="%1."/>
      <w:lvlJc w:val="left"/>
      <w:pPr>
        <w:tabs>
          <w:tab w:val="num" w:pos="1209"/>
        </w:tabs>
        <w:ind w:left="1209" w:hanging="360"/>
      </w:pPr>
    </w:lvl>
  </w:abstractNum>
  <w:abstractNum w:abstractNumId="2">
    <w:nsid w:val="FFFFFF7E"/>
    <w:multiLevelType w:val="singleLevel"/>
    <w:tmpl w:val="F90840CA"/>
    <w:lvl w:ilvl="0">
      <w:start w:val="1"/>
      <w:numFmt w:val="decimal"/>
      <w:lvlText w:val="%1."/>
      <w:lvlJc w:val="left"/>
      <w:pPr>
        <w:tabs>
          <w:tab w:val="num" w:pos="926"/>
        </w:tabs>
        <w:ind w:left="926" w:hanging="360"/>
      </w:pPr>
    </w:lvl>
  </w:abstractNum>
  <w:abstractNum w:abstractNumId="3">
    <w:nsid w:val="FFFFFF7F"/>
    <w:multiLevelType w:val="singleLevel"/>
    <w:tmpl w:val="8C90ECD8"/>
    <w:lvl w:ilvl="0">
      <w:start w:val="1"/>
      <w:numFmt w:val="decimal"/>
      <w:lvlText w:val="%1."/>
      <w:lvlJc w:val="left"/>
      <w:pPr>
        <w:tabs>
          <w:tab w:val="num" w:pos="643"/>
        </w:tabs>
        <w:ind w:left="643" w:hanging="360"/>
      </w:pPr>
    </w:lvl>
  </w:abstractNum>
  <w:abstractNum w:abstractNumId="4">
    <w:nsid w:val="FFFFFF80"/>
    <w:multiLevelType w:val="singleLevel"/>
    <w:tmpl w:val="BB4E43D4"/>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2FCAD3C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FB80263C"/>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000E284"/>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8C820114"/>
    <w:lvl w:ilvl="0">
      <w:start w:val="1"/>
      <w:numFmt w:val="decimal"/>
      <w:lvlText w:val="%1."/>
      <w:lvlJc w:val="left"/>
      <w:pPr>
        <w:tabs>
          <w:tab w:val="num" w:pos="360"/>
        </w:tabs>
        <w:ind w:left="360" w:hanging="360"/>
      </w:pPr>
    </w:lvl>
  </w:abstractNum>
  <w:abstractNum w:abstractNumId="9">
    <w:nsid w:val="FFFFFF89"/>
    <w:multiLevelType w:val="singleLevel"/>
    <w:tmpl w:val="DC4862F0"/>
    <w:lvl w:ilvl="0">
      <w:start w:val="1"/>
      <w:numFmt w:val="bullet"/>
      <w:lvlText w:val=""/>
      <w:lvlJc w:val="left"/>
      <w:pPr>
        <w:tabs>
          <w:tab w:val="num" w:pos="360"/>
        </w:tabs>
        <w:ind w:left="360" w:hanging="360"/>
      </w:pPr>
      <w:rPr>
        <w:rFonts w:ascii="Symbol" w:hAnsi="Symbol" w:hint="default"/>
      </w:rPr>
    </w:lvl>
  </w:abstractNum>
  <w:abstractNum w:abstractNumId="10">
    <w:nsid w:val="036447E4"/>
    <w:multiLevelType w:val="hybridMultilevel"/>
    <w:tmpl w:val="7F94C952"/>
    <w:lvl w:ilvl="0" w:tplc="FD74F134">
      <w:start w:val="1"/>
      <w:numFmt w:val="lowerLetter"/>
      <w:lvlText w:val="%1)"/>
      <w:lvlJc w:val="left"/>
      <w:pPr>
        <w:tabs>
          <w:tab w:val="num" w:pos="899"/>
        </w:tabs>
        <w:ind w:left="899" w:hanging="360"/>
      </w:pPr>
      <w:rPr>
        <w:rFonts w:ascii="Arial" w:eastAsia="Times New Roman" w:hAnsi="Arial" w:cs="Arial"/>
      </w:rPr>
    </w:lvl>
    <w:lvl w:ilvl="1" w:tplc="04090019">
      <w:start w:val="1"/>
      <w:numFmt w:val="lowerLetter"/>
      <w:lvlText w:val="%2."/>
      <w:lvlJc w:val="left"/>
      <w:pPr>
        <w:tabs>
          <w:tab w:val="num" w:pos="1619"/>
        </w:tabs>
        <w:ind w:left="1619" w:hanging="360"/>
      </w:pPr>
    </w:lvl>
    <w:lvl w:ilvl="2" w:tplc="0409001B">
      <w:start w:val="1"/>
      <w:numFmt w:val="lowerRoman"/>
      <w:lvlText w:val="%3."/>
      <w:lvlJc w:val="right"/>
      <w:pPr>
        <w:tabs>
          <w:tab w:val="num" w:pos="2339"/>
        </w:tabs>
        <w:ind w:left="2339" w:hanging="180"/>
      </w:pPr>
    </w:lvl>
    <w:lvl w:ilvl="3" w:tplc="0409000F">
      <w:start w:val="1"/>
      <w:numFmt w:val="decimal"/>
      <w:lvlText w:val="%4."/>
      <w:lvlJc w:val="left"/>
      <w:pPr>
        <w:tabs>
          <w:tab w:val="num" w:pos="3059"/>
        </w:tabs>
        <w:ind w:left="3059" w:hanging="360"/>
      </w:pPr>
    </w:lvl>
    <w:lvl w:ilvl="4" w:tplc="04090019">
      <w:start w:val="1"/>
      <w:numFmt w:val="lowerLetter"/>
      <w:lvlText w:val="%5."/>
      <w:lvlJc w:val="left"/>
      <w:pPr>
        <w:tabs>
          <w:tab w:val="num" w:pos="3779"/>
        </w:tabs>
        <w:ind w:left="3779" w:hanging="360"/>
      </w:pPr>
    </w:lvl>
    <w:lvl w:ilvl="5" w:tplc="0409001B">
      <w:start w:val="1"/>
      <w:numFmt w:val="lowerRoman"/>
      <w:lvlText w:val="%6."/>
      <w:lvlJc w:val="right"/>
      <w:pPr>
        <w:tabs>
          <w:tab w:val="num" w:pos="4499"/>
        </w:tabs>
        <w:ind w:left="4499" w:hanging="180"/>
      </w:pPr>
    </w:lvl>
    <w:lvl w:ilvl="6" w:tplc="0409000F">
      <w:start w:val="1"/>
      <w:numFmt w:val="decimal"/>
      <w:lvlText w:val="%7."/>
      <w:lvlJc w:val="left"/>
      <w:pPr>
        <w:tabs>
          <w:tab w:val="num" w:pos="5219"/>
        </w:tabs>
        <w:ind w:left="5219" w:hanging="360"/>
      </w:pPr>
    </w:lvl>
    <w:lvl w:ilvl="7" w:tplc="04090019">
      <w:start w:val="1"/>
      <w:numFmt w:val="lowerLetter"/>
      <w:lvlText w:val="%8."/>
      <w:lvlJc w:val="left"/>
      <w:pPr>
        <w:tabs>
          <w:tab w:val="num" w:pos="5939"/>
        </w:tabs>
        <w:ind w:left="5939" w:hanging="360"/>
      </w:pPr>
    </w:lvl>
    <w:lvl w:ilvl="8" w:tplc="0409001B">
      <w:start w:val="1"/>
      <w:numFmt w:val="lowerRoman"/>
      <w:lvlText w:val="%9."/>
      <w:lvlJc w:val="right"/>
      <w:pPr>
        <w:tabs>
          <w:tab w:val="num" w:pos="6659"/>
        </w:tabs>
        <w:ind w:left="6659" w:hanging="180"/>
      </w:pPr>
    </w:lvl>
  </w:abstractNum>
  <w:abstractNum w:abstractNumId="11">
    <w:nsid w:val="08D16D7E"/>
    <w:multiLevelType w:val="hybridMultilevel"/>
    <w:tmpl w:val="2FDECE04"/>
    <w:lvl w:ilvl="0" w:tplc="0C090001">
      <w:start w:val="1"/>
      <w:numFmt w:val="bullet"/>
      <w:lvlText w:val=""/>
      <w:lvlJc w:val="left"/>
      <w:pPr>
        <w:ind w:left="1854" w:hanging="360"/>
      </w:pPr>
      <w:rPr>
        <w:rFonts w:ascii="Symbol" w:hAnsi="Symbol" w:hint="default"/>
      </w:rPr>
    </w:lvl>
    <w:lvl w:ilvl="1" w:tplc="0C090003" w:tentative="1">
      <w:start w:val="1"/>
      <w:numFmt w:val="bullet"/>
      <w:lvlText w:val="o"/>
      <w:lvlJc w:val="left"/>
      <w:pPr>
        <w:ind w:left="2574" w:hanging="360"/>
      </w:pPr>
      <w:rPr>
        <w:rFonts w:ascii="Courier New" w:hAnsi="Courier New" w:cs="Courier New" w:hint="default"/>
      </w:rPr>
    </w:lvl>
    <w:lvl w:ilvl="2" w:tplc="0C090005" w:tentative="1">
      <w:start w:val="1"/>
      <w:numFmt w:val="bullet"/>
      <w:lvlText w:val=""/>
      <w:lvlJc w:val="left"/>
      <w:pPr>
        <w:ind w:left="3294" w:hanging="360"/>
      </w:pPr>
      <w:rPr>
        <w:rFonts w:ascii="Wingdings" w:hAnsi="Wingdings" w:hint="default"/>
      </w:rPr>
    </w:lvl>
    <w:lvl w:ilvl="3" w:tplc="0C090001" w:tentative="1">
      <w:start w:val="1"/>
      <w:numFmt w:val="bullet"/>
      <w:lvlText w:val=""/>
      <w:lvlJc w:val="left"/>
      <w:pPr>
        <w:ind w:left="4014" w:hanging="360"/>
      </w:pPr>
      <w:rPr>
        <w:rFonts w:ascii="Symbol" w:hAnsi="Symbol" w:hint="default"/>
      </w:rPr>
    </w:lvl>
    <w:lvl w:ilvl="4" w:tplc="0C090003" w:tentative="1">
      <w:start w:val="1"/>
      <w:numFmt w:val="bullet"/>
      <w:lvlText w:val="o"/>
      <w:lvlJc w:val="left"/>
      <w:pPr>
        <w:ind w:left="4734" w:hanging="360"/>
      </w:pPr>
      <w:rPr>
        <w:rFonts w:ascii="Courier New" w:hAnsi="Courier New" w:cs="Courier New" w:hint="default"/>
      </w:rPr>
    </w:lvl>
    <w:lvl w:ilvl="5" w:tplc="0C090005" w:tentative="1">
      <w:start w:val="1"/>
      <w:numFmt w:val="bullet"/>
      <w:lvlText w:val=""/>
      <w:lvlJc w:val="left"/>
      <w:pPr>
        <w:ind w:left="5454" w:hanging="360"/>
      </w:pPr>
      <w:rPr>
        <w:rFonts w:ascii="Wingdings" w:hAnsi="Wingdings" w:hint="default"/>
      </w:rPr>
    </w:lvl>
    <w:lvl w:ilvl="6" w:tplc="0C090001" w:tentative="1">
      <w:start w:val="1"/>
      <w:numFmt w:val="bullet"/>
      <w:lvlText w:val=""/>
      <w:lvlJc w:val="left"/>
      <w:pPr>
        <w:ind w:left="6174" w:hanging="360"/>
      </w:pPr>
      <w:rPr>
        <w:rFonts w:ascii="Symbol" w:hAnsi="Symbol" w:hint="default"/>
      </w:rPr>
    </w:lvl>
    <w:lvl w:ilvl="7" w:tplc="0C090003" w:tentative="1">
      <w:start w:val="1"/>
      <w:numFmt w:val="bullet"/>
      <w:lvlText w:val="o"/>
      <w:lvlJc w:val="left"/>
      <w:pPr>
        <w:ind w:left="6894" w:hanging="360"/>
      </w:pPr>
      <w:rPr>
        <w:rFonts w:ascii="Courier New" w:hAnsi="Courier New" w:cs="Courier New" w:hint="default"/>
      </w:rPr>
    </w:lvl>
    <w:lvl w:ilvl="8" w:tplc="0C090005" w:tentative="1">
      <w:start w:val="1"/>
      <w:numFmt w:val="bullet"/>
      <w:lvlText w:val=""/>
      <w:lvlJc w:val="left"/>
      <w:pPr>
        <w:ind w:left="7614" w:hanging="360"/>
      </w:pPr>
      <w:rPr>
        <w:rFonts w:ascii="Wingdings" w:hAnsi="Wingdings" w:hint="default"/>
      </w:rPr>
    </w:lvl>
  </w:abstractNum>
  <w:abstractNum w:abstractNumId="12">
    <w:nsid w:val="0A242E5A"/>
    <w:multiLevelType w:val="hybridMultilevel"/>
    <w:tmpl w:val="CF240C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0B660893"/>
    <w:multiLevelType w:val="hybridMultilevel"/>
    <w:tmpl w:val="51849B2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14">
    <w:nsid w:val="0E0A35CF"/>
    <w:multiLevelType w:val="hybridMultilevel"/>
    <w:tmpl w:val="8290308C"/>
    <w:lvl w:ilvl="0" w:tplc="04184A9A">
      <w:start w:val="1"/>
      <w:numFmt w:val="decimal"/>
      <w:lvlText w:val="%1)"/>
      <w:lvlJc w:val="left"/>
      <w:pPr>
        <w:ind w:left="1494" w:hanging="360"/>
      </w:pPr>
      <w:rPr>
        <w:rFonts w:hint="default"/>
      </w:rPr>
    </w:lvl>
    <w:lvl w:ilvl="1" w:tplc="0C090019" w:tentative="1">
      <w:start w:val="1"/>
      <w:numFmt w:val="lowerLetter"/>
      <w:lvlText w:val="%2."/>
      <w:lvlJc w:val="left"/>
      <w:pPr>
        <w:ind w:left="2214" w:hanging="360"/>
      </w:pPr>
    </w:lvl>
    <w:lvl w:ilvl="2" w:tplc="0C09001B" w:tentative="1">
      <w:start w:val="1"/>
      <w:numFmt w:val="lowerRoman"/>
      <w:lvlText w:val="%3."/>
      <w:lvlJc w:val="right"/>
      <w:pPr>
        <w:ind w:left="2934" w:hanging="180"/>
      </w:pPr>
    </w:lvl>
    <w:lvl w:ilvl="3" w:tplc="0C09000F" w:tentative="1">
      <w:start w:val="1"/>
      <w:numFmt w:val="decimal"/>
      <w:lvlText w:val="%4."/>
      <w:lvlJc w:val="left"/>
      <w:pPr>
        <w:ind w:left="3654" w:hanging="360"/>
      </w:pPr>
    </w:lvl>
    <w:lvl w:ilvl="4" w:tplc="0C090019" w:tentative="1">
      <w:start w:val="1"/>
      <w:numFmt w:val="lowerLetter"/>
      <w:lvlText w:val="%5."/>
      <w:lvlJc w:val="left"/>
      <w:pPr>
        <w:ind w:left="4374" w:hanging="360"/>
      </w:pPr>
    </w:lvl>
    <w:lvl w:ilvl="5" w:tplc="0C09001B" w:tentative="1">
      <w:start w:val="1"/>
      <w:numFmt w:val="lowerRoman"/>
      <w:lvlText w:val="%6."/>
      <w:lvlJc w:val="right"/>
      <w:pPr>
        <w:ind w:left="5094" w:hanging="180"/>
      </w:pPr>
    </w:lvl>
    <w:lvl w:ilvl="6" w:tplc="0C09000F" w:tentative="1">
      <w:start w:val="1"/>
      <w:numFmt w:val="decimal"/>
      <w:lvlText w:val="%7."/>
      <w:lvlJc w:val="left"/>
      <w:pPr>
        <w:ind w:left="5814" w:hanging="360"/>
      </w:pPr>
    </w:lvl>
    <w:lvl w:ilvl="7" w:tplc="0C090019" w:tentative="1">
      <w:start w:val="1"/>
      <w:numFmt w:val="lowerLetter"/>
      <w:lvlText w:val="%8."/>
      <w:lvlJc w:val="left"/>
      <w:pPr>
        <w:ind w:left="6534" w:hanging="360"/>
      </w:pPr>
    </w:lvl>
    <w:lvl w:ilvl="8" w:tplc="0C09001B" w:tentative="1">
      <w:start w:val="1"/>
      <w:numFmt w:val="lowerRoman"/>
      <w:lvlText w:val="%9."/>
      <w:lvlJc w:val="right"/>
      <w:pPr>
        <w:ind w:left="7254" w:hanging="180"/>
      </w:pPr>
    </w:lvl>
  </w:abstractNum>
  <w:abstractNum w:abstractNumId="15">
    <w:nsid w:val="0E58711E"/>
    <w:multiLevelType w:val="hybridMultilevel"/>
    <w:tmpl w:val="AA6A321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120750E5"/>
    <w:multiLevelType w:val="multilevel"/>
    <w:tmpl w:val="0409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320"/>
        </w:tabs>
        <w:ind w:left="3240" w:hanging="1080"/>
      </w:pPr>
    </w:lvl>
    <w:lvl w:ilvl="7">
      <w:start w:val="1"/>
      <w:numFmt w:val="decimal"/>
      <w:lvlText w:val="%1.%2.%3.%4.%5.%6.%7.%8."/>
      <w:lvlJc w:val="left"/>
      <w:pPr>
        <w:tabs>
          <w:tab w:val="num" w:pos="5040"/>
        </w:tabs>
        <w:ind w:left="3744" w:hanging="1224"/>
      </w:pPr>
    </w:lvl>
    <w:lvl w:ilvl="8">
      <w:start w:val="1"/>
      <w:numFmt w:val="decimal"/>
      <w:lvlText w:val="%1.%2.%3.%4.%5.%6.%7.%8.%9."/>
      <w:lvlJc w:val="left"/>
      <w:pPr>
        <w:tabs>
          <w:tab w:val="num" w:pos="5760"/>
        </w:tabs>
        <w:ind w:left="4320" w:hanging="1440"/>
      </w:pPr>
    </w:lvl>
  </w:abstractNum>
  <w:abstractNum w:abstractNumId="17">
    <w:nsid w:val="14274B2B"/>
    <w:multiLevelType w:val="hybridMultilevel"/>
    <w:tmpl w:val="2BE08690"/>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18">
    <w:nsid w:val="14437737"/>
    <w:multiLevelType w:val="hybridMultilevel"/>
    <w:tmpl w:val="BDF0150A"/>
    <w:lvl w:ilvl="0" w:tplc="08A4C0E6">
      <w:start w:val="2468"/>
      <w:numFmt w:val="bullet"/>
      <w:lvlText w:val="-"/>
      <w:lvlJc w:val="left"/>
      <w:pPr>
        <w:ind w:left="720" w:hanging="360"/>
      </w:pPr>
      <w:rPr>
        <w:rFonts w:ascii="Arial" w:eastAsia="Times New Roman" w:hAnsi="Arial" w:cs="Aria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9">
    <w:nsid w:val="15C43602"/>
    <w:multiLevelType w:val="hybridMultilevel"/>
    <w:tmpl w:val="462ED1D8"/>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20">
    <w:nsid w:val="1611431D"/>
    <w:multiLevelType w:val="hybridMultilevel"/>
    <w:tmpl w:val="58727F32"/>
    <w:lvl w:ilvl="0" w:tplc="0C090001">
      <w:start w:val="1"/>
      <w:numFmt w:val="bullet"/>
      <w:lvlText w:val=""/>
      <w:lvlJc w:val="left"/>
      <w:pPr>
        <w:ind w:left="927" w:hanging="360"/>
      </w:pPr>
      <w:rPr>
        <w:rFonts w:ascii="Symbol" w:hAnsi="Symbol" w:hint="default"/>
      </w:rPr>
    </w:lvl>
    <w:lvl w:ilvl="1" w:tplc="0C090003">
      <w:start w:val="1"/>
      <w:numFmt w:val="bullet"/>
      <w:lvlText w:val="o"/>
      <w:lvlJc w:val="left"/>
      <w:pPr>
        <w:ind w:left="1647" w:hanging="360"/>
      </w:pPr>
      <w:rPr>
        <w:rFonts w:ascii="Courier New" w:hAnsi="Courier New" w:cs="Courier New" w:hint="default"/>
      </w:rPr>
    </w:lvl>
    <w:lvl w:ilvl="2" w:tplc="0C090005">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21">
    <w:nsid w:val="18EA0FC6"/>
    <w:multiLevelType w:val="hybridMultilevel"/>
    <w:tmpl w:val="D5AE1692"/>
    <w:lvl w:ilvl="0" w:tplc="61661952">
      <w:start w:val="1"/>
      <w:numFmt w:val="lowerLetter"/>
      <w:lvlText w:val="%1)"/>
      <w:lvlJc w:val="left"/>
      <w:pPr>
        <w:ind w:left="927" w:hanging="360"/>
      </w:pPr>
    </w:lvl>
    <w:lvl w:ilvl="1" w:tplc="0C090019">
      <w:start w:val="1"/>
      <w:numFmt w:val="lowerLetter"/>
      <w:lvlText w:val="%2."/>
      <w:lvlJc w:val="left"/>
      <w:pPr>
        <w:ind w:left="1647" w:hanging="360"/>
      </w:pPr>
    </w:lvl>
    <w:lvl w:ilvl="2" w:tplc="0C09001B">
      <w:start w:val="1"/>
      <w:numFmt w:val="lowerRoman"/>
      <w:lvlText w:val="%3."/>
      <w:lvlJc w:val="right"/>
      <w:pPr>
        <w:ind w:left="2367" w:hanging="180"/>
      </w:pPr>
    </w:lvl>
    <w:lvl w:ilvl="3" w:tplc="0C09000F">
      <w:start w:val="1"/>
      <w:numFmt w:val="decimal"/>
      <w:lvlText w:val="%4."/>
      <w:lvlJc w:val="left"/>
      <w:pPr>
        <w:ind w:left="3087" w:hanging="360"/>
      </w:pPr>
    </w:lvl>
    <w:lvl w:ilvl="4" w:tplc="0C090019">
      <w:start w:val="1"/>
      <w:numFmt w:val="lowerLetter"/>
      <w:lvlText w:val="%5."/>
      <w:lvlJc w:val="left"/>
      <w:pPr>
        <w:ind w:left="3807" w:hanging="360"/>
      </w:pPr>
    </w:lvl>
    <w:lvl w:ilvl="5" w:tplc="0C09001B">
      <w:start w:val="1"/>
      <w:numFmt w:val="lowerRoman"/>
      <w:lvlText w:val="%6."/>
      <w:lvlJc w:val="right"/>
      <w:pPr>
        <w:ind w:left="4527" w:hanging="180"/>
      </w:pPr>
    </w:lvl>
    <w:lvl w:ilvl="6" w:tplc="0C09000F">
      <w:start w:val="1"/>
      <w:numFmt w:val="decimal"/>
      <w:lvlText w:val="%7."/>
      <w:lvlJc w:val="left"/>
      <w:pPr>
        <w:ind w:left="5247" w:hanging="360"/>
      </w:pPr>
    </w:lvl>
    <w:lvl w:ilvl="7" w:tplc="0C090019">
      <w:start w:val="1"/>
      <w:numFmt w:val="lowerLetter"/>
      <w:lvlText w:val="%8."/>
      <w:lvlJc w:val="left"/>
      <w:pPr>
        <w:ind w:left="5967" w:hanging="360"/>
      </w:pPr>
    </w:lvl>
    <w:lvl w:ilvl="8" w:tplc="0C09001B">
      <w:start w:val="1"/>
      <w:numFmt w:val="lowerRoman"/>
      <w:lvlText w:val="%9."/>
      <w:lvlJc w:val="right"/>
      <w:pPr>
        <w:ind w:left="6687" w:hanging="180"/>
      </w:pPr>
    </w:lvl>
  </w:abstractNum>
  <w:abstractNum w:abstractNumId="22">
    <w:nsid w:val="1F4E2336"/>
    <w:multiLevelType w:val="hybridMultilevel"/>
    <w:tmpl w:val="142C252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3">
    <w:nsid w:val="254B6764"/>
    <w:multiLevelType w:val="hybridMultilevel"/>
    <w:tmpl w:val="BE4AB43C"/>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4">
    <w:nsid w:val="28AE5877"/>
    <w:multiLevelType w:val="hybridMultilevel"/>
    <w:tmpl w:val="4510F4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nsid w:val="2EAE1820"/>
    <w:multiLevelType w:val="hybridMultilevel"/>
    <w:tmpl w:val="7D988CE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start w:val="1"/>
      <w:numFmt w:val="lowerRoman"/>
      <w:lvlText w:val="%3."/>
      <w:lvlJc w:val="right"/>
      <w:pPr>
        <w:ind w:left="2160" w:hanging="180"/>
      </w:pPr>
    </w:lvl>
    <w:lvl w:ilvl="3" w:tplc="0C09000F">
      <w:start w:val="1"/>
      <w:numFmt w:val="decimal"/>
      <w:lvlText w:val="%4."/>
      <w:lvlJc w:val="left"/>
      <w:pPr>
        <w:ind w:left="2880" w:hanging="360"/>
      </w:pPr>
    </w:lvl>
    <w:lvl w:ilvl="4" w:tplc="0C090019">
      <w:start w:val="1"/>
      <w:numFmt w:val="lowerLetter"/>
      <w:lvlText w:val="%5."/>
      <w:lvlJc w:val="left"/>
      <w:pPr>
        <w:ind w:left="3600" w:hanging="360"/>
      </w:pPr>
    </w:lvl>
    <w:lvl w:ilvl="5" w:tplc="0C09001B">
      <w:start w:val="1"/>
      <w:numFmt w:val="lowerRoman"/>
      <w:lvlText w:val="%6."/>
      <w:lvlJc w:val="right"/>
      <w:pPr>
        <w:ind w:left="4320" w:hanging="180"/>
      </w:pPr>
    </w:lvl>
    <w:lvl w:ilvl="6" w:tplc="0C09000F">
      <w:start w:val="1"/>
      <w:numFmt w:val="decimal"/>
      <w:lvlText w:val="%7."/>
      <w:lvlJc w:val="left"/>
      <w:pPr>
        <w:ind w:left="5040" w:hanging="360"/>
      </w:pPr>
    </w:lvl>
    <w:lvl w:ilvl="7" w:tplc="0C090019">
      <w:start w:val="1"/>
      <w:numFmt w:val="lowerLetter"/>
      <w:lvlText w:val="%8."/>
      <w:lvlJc w:val="left"/>
      <w:pPr>
        <w:ind w:left="5760" w:hanging="360"/>
      </w:pPr>
    </w:lvl>
    <w:lvl w:ilvl="8" w:tplc="0C09001B">
      <w:start w:val="1"/>
      <w:numFmt w:val="lowerRoman"/>
      <w:lvlText w:val="%9."/>
      <w:lvlJc w:val="right"/>
      <w:pPr>
        <w:ind w:left="6480" w:hanging="180"/>
      </w:pPr>
    </w:lvl>
  </w:abstractNum>
  <w:abstractNum w:abstractNumId="26">
    <w:nsid w:val="2ED010BB"/>
    <w:multiLevelType w:val="hybridMultilevel"/>
    <w:tmpl w:val="F7ECE00E"/>
    <w:lvl w:ilvl="0" w:tplc="FD9CDE54">
      <w:start w:val="14"/>
      <w:numFmt w:val="bullet"/>
      <w:lvlText w:val=""/>
      <w:lvlJc w:val="left"/>
      <w:pPr>
        <w:ind w:left="927" w:hanging="360"/>
      </w:pPr>
      <w:rPr>
        <w:rFonts w:ascii="Symbol" w:eastAsia="Times New Roman" w:hAnsi="Symbol" w:cs="Times New Roman"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27">
    <w:nsid w:val="2EED664C"/>
    <w:multiLevelType w:val="multilevel"/>
    <w:tmpl w:val="872C444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8">
    <w:nsid w:val="2F89677D"/>
    <w:multiLevelType w:val="hybridMultilevel"/>
    <w:tmpl w:val="E320C8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315677A7"/>
    <w:multiLevelType w:val="hybridMultilevel"/>
    <w:tmpl w:val="042697B0"/>
    <w:lvl w:ilvl="0" w:tplc="0C09000F">
      <w:start w:val="1"/>
      <w:numFmt w:val="decimal"/>
      <w:lvlText w:val="%1."/>
      <w:lvlJc w:val="left"/>
      <w:pPr>
        <w:ind w:left="360" w:hanging="360"/>
      </w:pPr>
    </w:lvl>
    <w:lvl w:ilvl="1" w:tplc="0C090019">
      <w:start w:val="1"/>
      <w:numFmt w:val="lowerLetter"/>
      <w:lvlText w:val="%2."/>
      <w:lvlJc w:val="left"/>
      <w:pPr>
        <w:ind w:left="1080" w:hanging="360"/>
      </w:pPr>
    </w:lvl>
    <w:lvl w:ilvl="2" w:tplc="0C09001B">
      <w:start w:val="1"/>
      <w:numFmt w:val="lowerRoman"/>
      <w:lvlText w:val="%3."/>
      <w:lvlJc w:val="right"/>
      <w:pPr>
        <w:ind w:left="1800" w:hanging="180"/>
      </w:pPr>
    </w:lvl>
    <w:lvl w:ilvl="3" w:tplc="0C09000F">
      <w:start w:val="1"/>
      <w:numFmt w:val="decimal"/>
      <w:lvlText w:val="%4."/>
      <w:lvlJc w:val="left"/>
      <w:pPr>
        <w:ind w:left="2520" w:hanging="360"/>
      </w:pPr>
    </w:lvl>
    <w:lvl w:ilvl="4" w:tplc="0C090019">
      <w:start w:val="1"/>
      <w:numFmt w:val="lowerLetter"/>
      <w:lvlText w:val="%5."/>
      <w:lvlJc w:val="left"/>
      <w:pPr>
        <w:ind w:left="3240" w:hanging="360"/>
      </w:pPr>
    </w:lvl>
    <w:lvl w:ilvl="5" w:tplc="0C09001B">
      <w:start w:val="1"/>
      <w:numFmt w:val="lowerRoman"/>
      <w:lvlText w:val="%6."/>
      <w:lvlJc w:val="right"/>
      <w:pPr>
        <w:ind w:left="3960" w:hanging="180"/>
      </w:pPr>
    </w:lvl>
    <w:lvl w:ilvl="6" w:tplc="0C09000F">
      <w:start w:val="1"/>
      <w:numFmt w:val="decimal"/>
      <w:lvlText w:val="%7."/>
      <w:lvlJc w:val="left"/>
      <w:pPr>
        <w:ind w:left="4680" w:hanging="360"/>
      </w:pPr>
    </w:lvl>
    <w:lvl w:ilvl="7" w:tplc="0C090019">
      <w:start w:val="1"/>
      <w:numFmt w:val="lowerLetter"/>
      <w:lvlText w:val="%8."/>
      <w:lvlJc w:val="left"/>
      <w:pPr>
        <w:ind w:left="5400" w:hanging="360"/>
      </w:pPr>
    </w:lvl>
    <w:lvl w:ilvl="8" w:tplc="0C09001B">
      <w:start w:val="1"/>
      <w:numFmt w:val="lowerRoman"/>
      <w:lvlText w:val="%9."/>
      <w:lvlJc w:val="right"/>
      <w:pPr>
        <w:ind w:left="6120" w:hanging="180"/>
      </w:pPr>
    </w:lvl>
  </w:abstractNum>
  <w:abstractNum w:abstractNumId="30">
    <w:nsid w:val="34A71F96"/>
    <w:multiLevelType w:val="multilevel"/>
    <w:tmpl w:val="04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31">
    <w:nsid w:val="351C31A4"/>
    <w:multiLevelType w:val="hybridMultilevel"/>
    <w:tmpl w:val="474C91CC"/>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32">
    <w:nsid w:val="352057B5"/>
    <w:multiLevelType w:val="hybridMultilevel"/>
    <w:tmpl w:val="180CD42A"/>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start w:val="1"/>
      <w:numFmt w:val="bullet"/>
      <w:lvlText w:val=""/>
      <w:lvlJc w:val="left"/>
      <w:pPr>
        <w:ind w:left="2520" w:hanging="360"/>
      </w:pPr>
      <w:rPr>
        <w:rFonts w:ascii="Wingdings" w:hAnsi="Wingdings" w:hint="default"/>
      </w:rPr>
    </w:lvl>
    <w:lvl w:ilvl="3" w:tplc="0C090001">
      <w:start w:val="1"/>
      <w:numFmt w:val="bullet"/>
      <w:lvlText w:val=""/>
      <w:lvlJc w:val="left"/>
      <w:pPr>
        <w:ind w:left="3240" w:hanging="360"/>
      </w:pPr>
      <w:rPr>
        <w:rFonts w:ascii="Symbol" w:hAnsi="Symbol" w:hint="default"/>
      </w:rPr>
    </w:lvl>
    <w:lvl w:ilvl="4" w:tplc="0C090003">
      <w:start w:val="1"/>
      <w:numFmt w:val="bullet"/>
      <w:lvlText w:val="o"/>
      <w:lvlJc w:val="left"/>
      <w:pPr>
        <w:ind w:left="3960" w:hanging="360"/>
      </w:pPr>
      <w:rPr>
        <w:rFonts w:ascii="Courier New" w:hAnsi="Courier New" w:cs="Courier New" w:hint="default"/>
      </w:rPr>
    </w:lvl>
    <w:lvl w:ilvl="5" w:tplc="0C090005">
      <w:start w:val="1"/>
      <w:numFmt w:val="bullet"/>
      <w:lvlText w:val=""/>
      <w:lvlJc w:val="left"/>
      <w:pPr>
        <w:ind w:left="4680" w:hanging="360"/>
      </w:pPr>
      <w:rPr>
        <w:rFonts w:ascii="Wingdings" w:hAnsi="Wingdings" w:hint="default"/>
      </w:rPr>
    </w:lvl>
    <w:lvl w:ilvl="6" w:tplc="0C090001">
      <w:start w:val="1"/>
      <w:numFmt w:val="bullet"/>
      <w:lvlText w:val=""/>
      <w:lvlJc w:val="left"/>
      <w:pPr>
        <w:ind w:left="5400" w:hanging="360"/>
      </w:pPr>
      <w:rPr>
        <w:rFonts w:ascii="Symbol" w:hAnsi="Symbol" w:hint="default"/>
      </w:rPr>
    </w:lvl>
    <w:lvl w:ilvl="7" w:tplc="0C090003">
      <w:start w:val="1"/>
      <w:numFmt w:val="bullet"/>
      <w:lvlText w:val="o"/>
      <w:lvlJc w:val="left"/>
      <w:pPr>
        <w:ind w:left="6120" w:hanging="360"/>
      </w:pPr>
      <w:rPr>
        <w:rFonts w:ascii="Courier New" w:hAnsi="Courier New" w:cs="Courier New" w:hint="default"/>
      </w:rPr>
    </w:lvl>
    <w:lvl w:ilvl="8" w:tplc="0C090005">
      <w:start w:val="1"/>
      <w:numFmt w:val="bullet"/>
      <w:lvlText w:val=""/>
      <w:lvlJc w:val="left"/>
      <w:pPr>
        <w:ind w:left="6840" w:hanging="360"/>
      </w:pPr>
      <w:rPr>
        <w:rFonts w:ascii="Wingdings" w:hAnsi="Wingdings" w:hint="default"/>
      </w:rPr>
    </w:lvl>
  </w:abstractNum>
  <w:abstractNum w:abstractNumId="33">
    <w:nsid w:val="366F6EE5"/>
    <w:multiLevelType w:val="hybridMultilevel"/>
    <w:tmpl w:val="16A2874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3EDE7F53"/>
    <w:multiLevelType w:val="hybridMultilevel"/>
    <w:tmpl w:val="E370E2C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439D2CD5"/>
    <w:multiLevelType w:val="hybridMultilevel"/>
    <w:tmpl w:val="3D16C506"/>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start w:val="1"/>
      <w:numFmt w:val="bullet"/>
      <w:lvlText w:val=""/>
      <w:lvlJc w:val="left"/>
      <w:pPr>
        <w:ind w:left="1800" w:hanging="360"/>
      </w:pPr>
      <w:rPr>
        <w:rFonts w:ascii="Wingdings" w:hAnsi="Wingdings" w:hint="default"/>
      </w:rPr>
    </w:lvl>
    <w:lvl w:ilvl="3" w:tplc="0C090001">
      <w:start w:val="1"/>
      <w:numFmt w:val="bullet"/>
      <w:lvlText w:val=""/>
      <w:lvlJc w:val="left"/>
      <w:pPr>
        <w:ind w:left="2520" w:hanging="360"/>
      </w:pPr>
      <w:rPr>
        <w:rFonts w:ascii="Symbol" w:hAnsi="Symbol" w:hint="default"/>
      </w:rPr>
    </w:lvl>
    <w:lvl w:ilvl="4" w:tplc="0C090003">
      <w:start w:val="1"/>
      <w:numFmt w:val="bullet"/>
      <w:lvlText w:val="o"/>
      <w:lvlJc w:val="left"/>
      <w:pPr>
        <w:ind w:left="3240" w:hanging="360"/>
      </w:pPr>
      <w:rPr>
        <w:rFonts w:ascii="Courier New" w:hAnsi="Courier New" w:cs="Courier New" w:hint="default"/>
      </w:rPr>
    </w:lvl>
    <w:lvl w:ilvl="5" w:tplc="0C090005">
      <w:start w:val="1"/>
      <w:numFmt w:val="bullet"/>
      <w:lvlText w:val=""/>
      <w:lvlJc w:val="left"/>
      <w:pPr>
        <w:ind w:left="3960" w:hanging="360"/>
      </w:pPr>
      <w:rPr>
        <w:rFonts w:ascii="Wingdings" w:hAnsi="Wingdings" w:hint="default"/>
      </w:rPr>
    </w:lvl>
    <w:lvl w:ilvl="6" w:tplc="0C090001">
      <w:start w:val="1"/>
      <w:numFmt w:val="bullet"/>
      <w:lvlText w:val=""/>
      <w:lvlJc w:val="left"/>
      <w:pPr>
        <w:ind w:left="4680" w:hanging="360"/>
      </w:pPr>
      <w:rPr>
        <w:rFonts w:ascii="Symbol" w:hAnsi="Symbol" w:hint="default"/>
      </w:rPr>
    </w:lvl>
    <w:lvl w:ilvl="7" w:tplc="0C090003">
      <w:start w:val="1"/>
      <w:numFmt w:val="bullet"/>
      <w:lvlText w:val="o"/>
      <w:lvlJc w:val="left"/>
      <w:pPr>
        <w:ind w:left="5400" w:hanging="360"/>
      </w:pPr>
      <w:rPr>
        <w:rFonts w:ascii="Courier New" w:hAnsi="Courier New" w:cs="Courier New" w:hint="default"/>
      </w:rPr>
    </w:lvl>
    <w:lvl w:ilvl="8" w:tplc="0C090005">
      <w:start w:val="1"/>
      <w:numFmt w:val="bullet"/>
      <w:lvlText w:val=""/>
      <w:lvlJc w:val="left"/>
      <w:pPr>
        <w:ind w:left="6120" w:hanging="360"/>
      </w:pPr>
      <w:rPr>
        <w:rFonts w:ascii="Wingdings" w:hAnsi="Wingdings" w:hint="default"/>
      </w:rPr>
    </w:lvl>
  </w:abstractNum>
  <w:abstractNum w:abstractNumId="36">
    <w:nsid w:val="446B0D5D"/>
    <w:multiLevelType w:val="hybridMultilevel"/>
    <w:tmpl w:val="A53433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463B107B"/>
    <w:multiLevelType w:val="multilevel"/>
    <w:tmpl w:val="FA507F1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8">
    <w:nsid w:val="4A3E0400"/>
    <w:multiLevelType w:val="hybridMultilevel"/>
    <w:tmpl w:val="2BF855D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nsid w:val="4D1138DE"/>
    <w:multiLevelType w:val="hybridMultilevel"/>
    <w:tmpl w:val="BE847E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0">
    <w:nsid w:val="5CB73044"/>
    <w:multiLevelType w:val="hybridMultilevel"/>
    <w:tmpl w:val="9920067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1">
    <w:nsid w:val="69D305CE"/>
    <w:multiLevelType w:val="hybridMultilevel"/>
    <w:tmpl w:val="B1EE851E"/>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42">
    <w:nsid w:val="6F916604"/>
    <w:multiLevelType w:val="multilevel"/>
    <w:tmpl w:val="993AF0F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43">
    <w:nsid w:val="778D2A0D"/>
    <w:multiLevelType w:val="hybridMultilevel"/>
    <w:tmpl w:val="EA78A40C"/>
    <w:lvl w:ilvl="0" w:tplc="0C090001">
      <w:start w:val="1"/>
      <w:numFmt w:val="bullet"/>
      <w:lvlText w:val=""/>
      <w:lvlJc w:val="left"/>
      <w:pPr>
        <w:ind w:left="781" w:hanging="360"/>
      </w:pPr>
      <w:rPr>
        <w:rFonts w:ascii="Symbol" w:hAnsi="Symbol" w:hint="default"/>
      </w:rPr>
    </w:lvl>
    <w:lvl w:ilvl="1" w:tplc="0C090003" w:tentative="1">
      <w:start w:val="1"/>
      <w:numFmt w:val="bullet"/>
      <w:lvlText w:val="o"/>
      <w:lvlJc w:val="left"/>
      <w:pPr>
        <w:ind w:left="1501" w:hanging="360"/>
      </w:pPr>
      <w:rPr>
        <w:rFonts w:ascii="Courier New" w:hAnsi="Courier New" w:cs="Courier New" w:hint="default"/>
      </w:rPr>
    </w:lvl>
    <w:lvl w:ilvl="2" w:tplc="0C090005" w:tentative="1">
      <w:start w:val="1"/>
      <w:numFmt w:val="bullet"/>
      <w:lvlText w:val=""/>
      <w:lvlJc w:val="left"/>
      <w:pPr>
        <w:ind w:left="2221" w:hanging="360"/>
      </w:pPr>
      <w:rPr>
        <w:rFonts w:ascii="Wingdings" w:hAnsi="Wingdings" w:hint="default"/>
      </w:rPr>
    </w:lvl>
    <w:lvl w:ilvl="3" w:tplc="0C090001" w:tentative="1">
      <w:start w:val="1"/>
      <w:numFmt w:val="bullet"/>
      <w:lvlText w:val=""/>
      <w:lvlJc w:val="left"/>
      <w:pPr>
        <w:ind w:left="2941" w:hanging="360"/>
      </w:pPr>
      <w:rPr>
        <w:rFonts w:ascii="Symbol" w:hAnsi="Symbol" w:hint="default"/>
      </w:rPr>
    </w:lvl>
    <w:lvl w:ilvl="4" w:tplc="0C090003" w:tentative="1">
      <w:start w:val="1"/>
      <w:numFmt w:val="bullet"/>
      <w:lvlText w:val="o"/>
      <w:lvlJc w:val="left"/>
      <w:pPr>
        <w:ind w:left="3661" w:hanging="360"/>
      </w:pPr>
      <w:rPr>
        <w:rFonts w:ascii="Courier New" w:hAnsi="Courier New" w:cs="Courier New" w:hint="default"/>
      </w:rPr>
    </w:lvl>
    <w:lvl w:ilvl="5" w:tplc="0C090005" w:tentative="1">
      <w:start w:val="1"/>
      <w:numFmt w:val="bullet"/>
      <w:lvlText w:val=""/>
      <w:lvlJc w:val="left"/>
      <w:pPr>
        <w:ind w:left="4381" w:hanging="360"/>
      </w:pPr>
      <w:rPr>
        <w:rFonts w:ascii="Wingdings" w:hAnsi="Wingdings" w:hint="default"/>
      </w:rPr>
    </w:lvl>
    <w:lvl w:ilvl="6" w:tplc="0C090001" w:tentative="1">
      <w:start w:val="1"/>
      <w:numFmt w:val="bullet"/>
      <w:lvlText w:val=""/>
      <w:lvlJc w:val="left"/>
      <w:pPr>
        <w:ind w:left="5101" w:hanging="360"/>
      </w:pPr>
      <w:rPr>
        <w:rFonts w:ascii="Symbol" w:hAnsi="Symbol" w:hint="default"/>
      </w:rPr>
    </w:lvl>
    <w:lvl w:ilvl="7" w:tplc="0C090003" w:tentative="1">
      <w:start w:val="1"/>
      <w:numFmt w:val="bullet"/>
      <w:lvlText w:val="o"/>
      <w:lvlJc w:val="left"/>
      <w:pPr>
        <w:ind w:left="5821" w:hanging="360"/>
      </w:pPr>
      <w:rPr>
        <w:rFonts w:ascii="Courier New" w:hAnsi="Courier New" w:cs="Courier New" w:hint="default"/>
      </w:rPr>
    </w:lvl>
    <w:lvl w:ilvl="8" w:tplc="0C090005" w:tentative="1">
      <w:start w:val="1"/>
      <w:numFmt w:val="bullet"/>
      <w:lvlText w:val=""/>
      <w:lvlJc w:val="left"/>
      <w:pPr>
        <w:ind w:left="6541" w:hanging="360"/>
      </w:pPr>
      <w:rPr>
        <w:rFonts w:ascii="Wingdings" w:hAnsi="Wingdings" w:hint="default"/>
      </w:rPr>
    </w:lvl>
  </w:abstractNum>
  <w:abstractNum w:abstractNumId="44">
    <w:nsid w:val="77BD6DC2"/>
    <w:multiLevelType w:val="multilevel"/>
    <w:tmpl w:val="96B40E34"/>
    <w:lvl w:ilvl="0">
      <w:start w:val="2"/>
      <w:numFmt w:val="decimal"/>
      <w:lvlText w:val="%1.0"/>
      <w:lvlJc w:val="left"/>
      <w:pPr>
        <w:tabs>
          <w:tab w:val="num" w:pos="567"/>
        </w:tabs>
        <w:ind w:left="567" w:hanging="567"/>
      </w:pPr>
      <w:rPr>
        <w:rFonts w:hint="default"/>
      </w:rPr>
    </w:lvl>
    <w:lvl w:ilvl="1">
      <w:start w:val="1"/>
      <w:numFmt w:val="decimal"/>
      <w:lvlText w:val="%1.%2"/>
      <w:lvlJc w:val="left"/>
      <w:pPr>
        <w:tabs>
          <w:tab w:val="num" w:pos="1440"/>
        </w:tabs>
        <w:ind w:left="1440" w:hanging="720"/>
      </w:pPr>
      <w:rPr>
        <w:rFonts w:hint="default"/>
      </w:rPr>
    </w:lvl>
    <w:lvl w:ilvl="2">
      <w:start w:val="1"/>
      <w:numFmt w:val="decimal"/>
      <w:lvlText w:val="%1.%2.%3"/>
      <w:lvlJc w:val="left"/>
      <w:pPr>
        <w:tabs>
          <w:tab w:val="num" w:pos="2160"/>
        </w:tabs>
        <w:ind w:left="2160" w:hanging="720"/>
      </w:pPr>
      <w:rPr>
        <w:rFonts w:hint="default"/>
      </w:rPr>
    </w:lvl>
    <w:lvl w:ilvl="3">
      <w:start w:val="1"/>
      <w:numFmt w:val="decimal"/>
      <w:lvlText w:val="%1.%2.%3.%4"/>
      <w:lvlJc w:val="left"/>
      <w:pPr>
        <w:tabs>
          <w:tab w:val="num" w:pos="2880"/>
        </w:tabs>
        <w:ind w:left="2880" w:hanging="72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45">
    <w:nsid w:val="79586781"/>
    <w:multiLevelType w:val="hybridMultilevel"/>
    <w:tmpl w:val="E94CBD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6">
    <w:nsid w:val="7B512CAE"/>
    <w:multiLevelType w:val="hybridMultilevel"/>
    <w:tmpl w:val="897275A6"/>
    <w:lvl w:ilvl="0" w:tplc="0C090001">
      <w:start w:val="1"/>
      <w:numFmt w:val="bullet"/>
      <w:lvlText w:val=""/>
      <w:lvlJc w:val="left"/>
      <w:pPr>
        <w:ind w:left="720" w:hanging="360"/>
      </w:pPr>
      <w:rPr>
        <w:rFonts w:ascii="Symbol" w:hAnsi="Symbol" w:hint="default"/>
      </w:rPr>
    </w:lvl>
    <w:lvl w:ilvl="1" w:tplc="0C090001">
      <w:start w:val="1"/>
      <w:numFmt w:val="bullet"/>
      <w:lvlText w:val=""/>
      <w:lvlJc w:val="left"/>
      <w:pPr>
        <w:ind w:left="1440" w:hanging="360"/>
      </w:pPr>
      <w:rPr>
        <w:rFonts w:ascii="Symbol" w:hAnsi="Symbol" w:hint="default"/>
      </w:rPr>
    </w:lvl>
    <w:lvl w:ilvl="2" w:tplc="0C090005">
      <w:start w:val="1"/>
      <w:numFmt w:val="bullet"/>
      <w:lvlText w:val=""/>
      <w:lvlJc w:val="left"/>
      <w:pPr>
        <w:tabs>
          <w:tab w:val="num" w:pos="2160"/>
        </w:tabs>
        <w:ind w:left="2160" w:hanging="360"/>
      </w:pPr>
      <w:rPr>
        <w:rFonts w:ascii="Wingdings" w:hAnsi="Wingdings" w:hint="default"/>
      </w:r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47">
    <w:nsid w:val="7CC43B61"/>
    <w:multiLevelType w:val="hybridMultilevel"/>
    <w:tmpl w:val="4C0E06B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8">
    <w:nsid w:val="7DF73370"/>
    <w:multiLevelType w:val="multilevel"/>
    <w:tmpl w:val="04090023"/>
    <w:lvl w:ilvl="0">
      <w:start w:val="1"/>
      <w:numFmt w:val="upperRoman"/>
      <w:lvlText w:val="Article %1."/>
      <w:lvlJc w:val="left"/>
      <w:pPr>
        <w:tabs>
          <w:tab w:val="num" w:pos="2160"/>
        </w:tabs>
        <w:ind w:left="0" w:firstLine="0"/>
      </w:pPr>
    </w:lvl>
    <w:lvl w:ilvl="1">
      <w:start w:val="1"/>
      <w:numFmt w:val="decimalZero"/>
      <w:isLgl/>
      <w:lvlText w:val="Section %1.%2"/>
      <w:lvlJc w:val="left"/>
      <w:pPr>
        <w:tabs>
          <w:tab w:val="num" w:pos="2160"/>
        </w:tabs>
        <w:ind w:left="0" w:firstLine="0"/>
      </w:pPr>
    </w:lvl>
    <w:lvl w:ilvl="2">
      <w:start w:val="1"/>
      <w:numFmt w:val="lowerLetter"/>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num w:numId="1">
    <w:abstractNumId w:val="16"/>
  </w:num>
  <w:num w:numId="2">
    <w:abstractNumId w:val="30"/>
  </w:num>
  <w:num w:numId="3">
    <w:abstractNumId w:val="48"/>
  </w:num>
  <w:num w:numId="4">
    <w:abstractNumId w:val="9"/>
  </w:num>
  <w:num w:numId="5">
    <w:abstractNumId w:val="7"/>
  </w:num>
  <w:num w:numId="6">
    <w:abstractNumId w:val="6"/>
  </w:num>
  <w:num w:numId="7">
    <w:abstractNumId w:val="5"/>
  </w:num>
  <w:num w:numId="8">
    <w:abstractNumId w:val="4"/>
  </w:num>
  <w:num w:numId="9">
    <w:abstractNumId w:val="8"/>
  </w:num>
  <w:num w:numId="10">
    <w:abstractNumId w:val="3"/>
  </w:num>
  <w:num w:numId="11">
    <w:abstractNumId w:val="2"/>
  </w:num>
  <w:num w:numId="12">
    <w:abstractNumId w:val="1"/>
  </w:num>
  <w:num w:numId="13">
    <w:abstractNumId w:val="0"/>
  </w:num>
  <w:num w:numId="14">
    <w:abstractNumId w:val="42"/>
  </w:num>
  <w:num w:numId="15">
    <w:abstractNumId w:val="40"/>
  </w:num>
  <w:num w:numId="16">
    <w:abstractNumId w:val="38"/>
  </w:num>
  <w:num w:numId="17">
    <w:abstractNumId w:val="36"/>
  </w:num>
  <w:num w:numId="18">
    <w:abstractNumId w:val="28"/>
  </w:num>
  <w:num w:numId="19">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5"/>
  </w:num>
  <w:num w:numId="21">
    <w:abstractNumId w:val="41"/>
  </w:num>
  <w:num w:numId="22">
    <w:abstractNumId w:val="26"/>
  </w:num>
  <w:num w:numId="23">
    <w:abstractNumId w:val="11"/>
  </w:num>
  <w:num w:numId="24">
    <w:abstractNumId w:val="20"/>
  </w:num>
  <w:num w:numId="25">
    <w:abstractNumId w:val="14"/>
  </w:num>
  <w:num w:numId="26">
    <w:abstractNumId w:val="15"/>
  </w:num>
  <w:num w:numId="27">
    <w:abstractNumId w:val="23"/>
  </w:num>
  <w:num w:numId="28">
    <w:abstractNumId w:val="17"/>
  </w:num>
  <w:num w:numId="29">
    <w:abstractNumId w:val="35"/>
  </w:num>
  <w:num w:numId="30">
    <w:abstractNumId w:val="27"/>
  </w:num>
  <w:num w:numId="31">
    <w:abstractNumId w:val="37"/>
  </w:num>
  <w:num w:numId="32">
    <w:abstractNumId w:val="12"/>
  </w:num>
  <w:num w:numId="33">
    <w:abstractNumId w:val="47"/>
  </w:num>
  <w:num w:numId="34">
    <w:abstractNumId w:val="43"/>
  </w:num>
  <w:num w:numId="35">
    <w:abstractNumId w:val="44"/>
  </w:num>
  <w:num w:numId="36">
    <w:abstractNumId w:val="13"/>
  </w:num>
  <w:num w:numId="37">
    <w:abstractNumId w:val="39"/>
  </w:num>
  <w:num w:numId="38">
    <w:abstractNumId w:val="22"/>
  </w:num>
  <w:num w:numId="39">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1"/>
  </w:num>
  <w:num w:numId="41">
    <w:abstractNumId w:val="32"/>
  </w:num>
  <w:num w:numId="42">
    <w:abstractNumId w:val="19"/>
  </w:num>
  <w:num w:numId="43">
    <w:abstractNumId w:val="34"/>
  </w:num>
  <w:num w:numId="44">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4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33"/>
  </w:num>
  <w:num w:numId="49">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567"/>
  <w:drawingGridHorizontalSpacing w:val="120"/>
  <w:displayHorizontalDrawingGridEvery w:val="2"/>
  <w:displayVerticalDrawingGridEvery w:val="2"/>
  <w:noPunctuationKerning/>
  <w:characterSpacingControl w:val="doNotCompress"/>
  <w:hdrShapeDefaults>
    <o:shapedefaults v:ext="edit" spidmax="1126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10495"/>
    <w:rsid w:val="0001262F"/>
    <w:rsid w:val="00033F4C"/>
    <w:rsid w:val="00046AAC"/>
    <w:rsid w:val="00063217"/>
    <w:rsid w:val="0006374A"/>
    <w:rsid w:val="00081A3A"/>
    <w:rsid w:val="00086375"/>
    <w:rsid w:val="00094F62"/>
    <w:rsid w:val="000C1DA9"/>
    <w:rsid w:val="000C55B4"/>
    <w:rsid w:val="000C7BE2"/>
    <w:rsid w:val="000D7EC6"/>
    <w:rsid w:val="000E0418"/>
    <w:rsid w:val="00100DB8"/>
    <w:rsid w:val="00102F55"/>
    <w:rsid w:val="00115744"/>
    <w:rsid w:val="00117622"/>
    <w:rsid w:val="00122850"/>
    <w:rsid w:val="001239CA"/>
    <w:rsid w:val="00124995"/>
    <w:rsid w:val="001304B8"/>
    <w:rsid w:val="00131BDD"/>
    <w:rsid w:val="00132991"/>
    <w:rsid w:val="001713D3"/>
    <w:rsid w:val="00182222"/>
    <w:rsid w:val="0018629E"/>
    <w:rsid w:val="00190463"/>
    <w:rsid w:val="00190ED3"/>
    <w:rsid w:val="001A35FE"/>
    <w:rsid w:val="001A36F9"/>
    <w:rsid w:val="001A4672"/>
    <w:rsid w:val="001A5E43"/>
    <w:rsid w:val="001C5ACE"/>
    <w:rsid w:val="001E3192"/>
    <w:rsid w:val="001E7BBA"/>
    <w:rsid w:val="00206EFA"/>
    <w:rsid w:val="002229A0"/>
    <w:rsid w:val="00230556"/>
    <w:rsid w:val="002306AA"/>
    <w:rsid w:val="00237446"/>
    <w:rsid w:val="00255DF3"/>
    <w:rsid w:val="0026355A"/>
    <w:rsid w:val="00265B1B"/>
    <w:rsid w:val="00276953"/>
    <w:rsid w:val="00277606"/>
    <w:rsid w:val="00281FA6"/>
    <w:rsid w:val="00282956"/>
    <w:rsid w:val="00296EE8"/>
    <w:rsid w:val="002A425D"/>
    <w:rsid w:val="002B73AC"/>
    <w:rsid w:val="002C6E6C"/>
    <w:rsid w:val="002D7EFE"/>
    <w:rsid w:val="002E638E"/>
    <w:rsid w:val="003076AB"/>
    <w:rsid w:val="00310622"/>
    <w:rsid w:val="003146BD"/>
    <w:rsid w:val="0031543F"/>
    <w:rsid w:val="003203FA"/>
    <w:rsid w:val="0032390D"/>
    <w:rsid w:val="003275C3"/>
    <w:rsid w:val="00336CBB"/>
    <w:rsid w:val="00341011"/>
    <w:rsid w:val="00351FCF"/>
    <w:rsid w:val="003523A6"/>
    <w:rsid w:val="0036525F"/>
    <w:rsid w:val="00373090"/>
    <w:rsid w:val="0037406A"/>
    <w:rsid w:val="00382B1C"/>
    <w:rsid w:val="00384C62"/>
    <w:rsid w:val="00386A12"/>
    <w:rsid w:val="00387126"/>
    <w:rsid w:val="0039260B"/>
    <w:rsid w:val="0039426C"/>
    <w:rsid w:val="0039767B"/>
    <w:rsid w:val="003A0111"/>
    <w:rsid w:val="003A369A"/>
    <w:rsid w:val="003A7DFD"/>
    <w:rsid w:val="003B4729"/>
    <w:rsid w:val="003B6FDD"/>
    <w:rsid w:val="003C2592"/>
    <w:rsid w:val="003C4A7B"/>
    <w:rsid w:val="003C4B11"/>
    <w:rsid w:val="003F083A"/>
    <w:rsid w:val="003F71FF"/>
    <w:rsid w:val="00400E6C"/>
    <w:rsid w:val="00401A4B"/>
    <w:rsid w:val="00402BAE"/>
    <w:rsid w:val="00404DE5"/>
    <w:rsid w:val="0040727A"/>
    <w:rsid w:val="004137A5"/>
    <w:rsid w:val="0041516B"/>
    <w:rsid w:val="0042543E"/>
    <w:rsid w:val="00427D92"/>
    <w:rsid w:val="0043379C"/>
    <w:rsid w:val="0043476C"/>
    <w:rsid w:val="00442FBC"/>
    <w:rsid w:val="00452B43"/>
    <w:rsid w:val="00454C6D"/>
    <w:rsid w:val="00454EE8"/>
    <w:rsid w:val="004558B5"/>
    <w:rsid w:val="004648B5"/>
    <w:rsid w:val="00467121"/>
    <w:rsid w:val="004838A0"/>
    <w:rsid w:val="004965A6"/>
    <w:rsid w:val="0049666D"/>
    <w:rsid w:val="004C00BC"/>
    <w:rsid w:val="004C15A3"/>
    <w:rsid w:val="004D0D58"/>
    <w:rsid w:val="004D6926"/>
    <w:rsid w:val="004F1010"/>
    <w:rsid w:val="005075E8"/>
    <w:rsid w:val="00510373"/>
    <w:rsid w:val="00511905"/>
    <w:rsid w:val="00511D77"/>
    <w:rsid w:val="00514945"/>
    <w:rsid w:val="00514FC6"/>
    <w:rsid w:val="00527965"/>
    <w:rsid w:val="00527C17"/>
    <w:rsid w:val="0055614C"/>
    <w:rsid w:val="005639CF"/>
    <w:rsid w:val="005706FF"/>
    <w:rsid w:val="00581BB2"/>
    <w:rsid w:val="00594978"/>
    <w:rsid w:val="005A4867"/>
    <w:rsid w:val="005A4B4F"/>
    <w:rsid w:val="005B0C39"/>
    <w:rsid w:val="005B17B0"/>
    <w:rsid w:val="005C2E68"/>
    <w:rsid w:val="005C3874"/>
    <w:rsid w:val="005F632E"/>
    <w:rsid w:val="00610495"/>
    <w:rsid w:val="00610C42"/>
    <w:rsid w:val="00635AFA"/>
    <w:rsid w:val="00655967"/>
    <w:rsid w:val="00664D55"/>
    <w:rsid w:val="00671033"/>
    <w:rsid w:val="006710AD"/>
    <w:rsid w:val="00677A67"/>
    <w:rsid w:val="006A2941"/>
    <w:rsid w:val="006D1343"/>
    <w:rsid w:val="006D5503"/>
    <w:rsid w:val="006D67F5"/>
    <w:rsid w:val="006D751F"/>
    <w:rsid w:val="006E266C"/>
    <w:rsid w:val="006E2D58"/>
    <w:rsid w:val="006E40F6"/>
    <w:rsid w:val="00725AF0"/>
    <w:rsid w:val="0073076D"/>
    <w:rsid w:val="00731C63"/>
    <w:rsid w:val="0073599F"/>
    <w:rsid w:val="00745051"/>
    <w:rsid w:val="00755B85"/>
    <w:rsid w:val="00757EAF"/>
    <w:rsid w:val="00762366"/>
    <w:rsid w:val="00780884"/>
    <w:rsid w:val="00784DF5"/>
    <w:rsid w:val="0078661A"/>
    <w:rsid w:val="00790F2C"/>
    <w:rsid w:val="007927C5"/>
    <w:rsid w:val="00793C9B"/>
    <w:rsid w:val="007A5436"/>
    <w:rsid w:val="007B4195"/>
    <w:rsid w:val="007C07E6"/>
    <w:rsid w:val="007C6F42"/>
    <w:rsid w:val="007D156D"/>
    <w:rsid w:val="007D1AFD"/>
    <w:rsid w:val="007F527E"/>
    <w:rsid w:val="00820CED"/>
    <w:rsid w:val="00823CAB"/>
    <w:rsid w:val="00833B14"/>
    <w:rsid w:val="00835DB1"/>
    <w:rsid w:val="00846361"/>
    <w:rsid w:val="00847349"/>
    <w:rsid w:val="00847883"/>
    <w:rsid w:val="00854986"/>
    <w:rsid w:val="00862F47"/>
    <w:rsid w:val="00873BDF"/>
    <w:rsid w:val="0088230C"/>
    <w:rsid w:val="00890456"/>
    <w:rsid w:val="00891854"/>
    <w:rsid w:val="008C131D"/>
    <w:rsid w:val="008C3350"/>
    <w:rsid w:val="008E06CB"/>
    <w:rsid w:val="008E6EF1"/>
    <w:rsid w:val="008E78C3"/>
    <w:rsid w:val="008F7369"/>
    <w:rsid w:val="008F7AB4"/>
    <w:rsid w:val="00912C62"/>
    <w:rsid w:val="00915048"/>
    <w:rsid w:val="0095260D"/>
    <w:rsid w:val="00961584"/>
    <w:rsid w:val="0098607F"/>
    <w:rsid w:val="009A0570"/>
    <w:rsid w:val="009C2FD4"/>
    <w:rsid w:val="009D2548"/>
    <w:rsid w:val="009E0892"/>
    <w:rsid w:val="009E5B42"/>
    <w:rsid w:val="00A10F50"/>
    <w:rsid w:val="00A116E7"/>
    <w:rsid w:val="00A1594B"/>
    <w:rsid w:val="00A208FF"/>
    <w:rsid w:val="00A21F16"/>
    <w:rsid w:val="00A34AF2"/>
    <w:rsid w:val="00A525F6"/>
    <w:rsid w:val="00A605D7"/>
    <w:rsid w:val="00A73C2B"/>
    <w:rsid w:val="00A73EE3"/>
    <w:rsid w:val="00A81DF4"/>
    <w:rsid w:val="00A930C0"/>
    <w:rsid w:val="00A932BF"/>
    <w:rsid w:val="00A9366B"/>
    <w:rsid w:val="00A93B82"/>
    <w:rsid w:val="00AA179F"/>
    <w:rsid w:val="00AC0EDF"/>
    <w:rsid w:val="00AC5C3C"/>
    <w:rsid w:val="00AD193E"/>
    <w:rsid w:val="00AE6435"/>
    <w:rsid w:val="00AE684D"/>
    <w:rsid w:val="00AF00FF"/>
    <w:rsid w:val="00AF1F4C"/>
    <w:rsid w:val="00AF25FF"/>
    <w:rsid w:val="00AF66BF"/>
    <w:rsid w:val="00B019D9"/>
    <w:rsid w:val="00B136F5"/>
    <w:rsid w:val="00B2426E"/>
    <w:rsid w:val="00B32C1B"/>
    <w:rsid w:val="00B330BF"/>
    <w:rsid w:val="00B408FE"/>
    <w:rsid w:val="00B456E6"/>
    <w:rsid w:val="00B62034"/>
    <w:rsid w:val="00B662AF"/>
    <w:rsid w:val="00B80BD5"/>
    <w:rsid w:val="00B813F3"/>
    <w:rsid w:val="00BA6702"/>
    <w:rsid w:val="00BA7BC2"/>
    <w:rsid w:val="00BB20AD"/>
    <w:rsid w:val="00BC1312"/>
    <w:rsid w:val="00BD029F"/>
    <w:rsid w:val="00BD1F93"/>
    <w:rsid w:val="00BE2CCC"/>
    <w:rsid w:val="00BF4139"/>
    <w:rsid w:val="00C0033E"/>
    <w:rsid w:val="00C0046D"/>
    <w:rsid w:val="00C04C9A"/>
    <w:rsid w:val="00C12C93"/>
    <w:rsid w:val="00C147E3"/>
    <w:rsid w:val="00C159BB"/>
    <w:rsid w:val="00C27AD1"/>
    <w:rsid w:val="00C47991"/>
    <w:rsid w:val="00C52198"/>
    <w:rsid w:val="00C70E1B"/>
    <w:rsid w:val="00C711BC"/>
    <w:rsid w:val="00C72887"/>
    <w:rsid w:val="00C73EA9"/>
    <w:rsid w:val="00C7559B"/>
    <w:rsid w:val="00C77753"/>
    <w:rsid w:val="00CA69D1"/>
    <w:rsid w:val="00CA7A76"/>
    <w:rsid w:val="00CB1924"/>
    <w:rsid w:val="00CB1F28"/>
    <w:rsid w:val="00CB5837"/>
    <w:rsid w:val="00CC0318"/>
    <w:rsid w:val="00CD69C9"/>
    <w:rsid w:val="00CD6FFA"/>
    <w:rsid w:val="00CF50BF"/>
    <w:rsid w:val="00CF5E37"/>
    <w:rsid w:val="00D17296"/>
    <w:rsid w:val="00D20F74"/>
    <w:rsid w:val="00D41DE3"/>
    <w:rsid w:val="00D53809"/>
    <w:rsid w:val="00D54B24"/>
    <w:rsid w:val="00D55921"/>
    <w:rsid w:val="00D57926"/>
    <w:rsid w:val="00D8422D"/>
    <w:rsid w:val="00D93D86"/>
    <w:rsid w:val="00D9455F"/>
    <w:rsid w:val="00D97D3D"/>
    <w:rsid w:val="00DC3A40"/>
    <w:rsid w:val="00DE2B9A"/>
    <w:rsid w:val="00E14CFE"/>
    <w:rsid w:val="00E339BA"/>
    <w:rsid w:val="00E341D3"/>
    <w:rsid w:val="00E44951"/>
    <w:rsid w:val="00E62D3D"/>
    <w:rsid w:val="00E65007"/>
    <w:rsid w:val="00E71949"/>
    <w:rsid w:val="00E72DB3"/>
    <w:rsid w:val="00E9065C"/>
    <w:rsid w:val="00E92C2F"/>
    <w:rsid w:val="00E94DEA"/>
    <w:rsid w:val="00EA6954"/>
    <w:rsid w:val="00EB7474"/>
    <w:rsid w:val="00EC14F6"/>
    <w:rsid w:val="00EC3ED5"/>
    <w:rsid w:val="00EC6780"/>
    <w:rsid w:val="00ED245F"/>
    <w:rsid w:val="00EE4662"/>
    <w:rsid w:val="00EE4B02"/>
    <w:rsid w:val="00EE5147"/>
    <w:rsid w:val="00EE6F6F"/>
    <w:rsid w:val="00EF26A5"/>
    <w:rsid w:val="00EF4A1B"/>
    <w:rsid w:val="00F1490A"/>
    <w:rsid w:val="00F27A65"/>
    <w:rsid w:val="00F5014D"/>
    <w:rsid w:val="00F505A8"/>
    <w:rsid w:val="00F521E9"/>
    <w:rsid w:val="00F67021"/>
    <w:rsid w:val="00F807D6"/>
    <w:rsid w:val="00F9260D"/>
    <w:rsid w:val="00F93A34"/>
    <w:rsid w:val="00F9418E"/>
    <w:rsid w:val="00FA20BA"/>
    <w:rsid w:val="00FA378A"/>
    <w:rsid w:val="00FA56CD"/>
    <w:rsid w:val="00FB28A2"/>
    <w:rsid w:val="00FB3927"/>
    <w:rsid w:val="00FB4661"/>
    <w:rsid w:val="00FE3387"/>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126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toc 1" w:uiPriority="39"/>
    <w:lsdException w:name="toc 2" w:uiPriority="39"/>
    <w:lsdException w:name="toc 3" w:uiPriority="39"/>
    <w:lsdException w:name="caption" w:qFormat="1"/>
    <w:lsdException w:name="Body Text" w:uiPriority="99"/>
    <w:lsdException w:name="Hyperlink" w:uiPriority="99"/>
    <w:lsdException w:name="Plain Text" w:uiPriority="9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6D1343"/>
    <w:rPr>
      <w:rFonts w:ascii="Helvetica" w:hAnsi="Helvetica" w:cs="Arial"/>
      <w:sz w:val="24"/>
      <w:szCs w:val="24"/>
      <w:lang w:eastAsia="en-US"/>
    </w:rPr>
  </w:style>
  <w:style w:type="paragraph" w:styleId="Heading1">
    <w:name w:val="heading 1"/>
    <w:basedOn w:val="Normal"/>
    <w:next w:val="Normal"/>
    <w:autoRedefine/>
    <w:qFormat/>
    <w:rsid w:val="002B73AC"/>
    <w:pPr>
      <w:keepNext/>
      <w:tabs>
        <w:tab w:val="left" w:pos="1134"/>
      </w:tabs>
      <w:spacing w:before="360" w:after="180"/>
      <w:outlineLvl w:val="0"/>
    </w:pPr>
    <w:rPr>
      <w:b/>
      <w:bCs/>
      <w:color w:val="004F5A"/>
      <w:kern w:val="32"/>
      <w:sz w:val="28"/>
      <w:szCs w:val="28"/>
    </w:rPr>
  </w:style>
  <w:style w:type="paragraph" w:styleId="Heading2">
    <w:name w:val="heading 2"/>
    <w:basedOn w:val="Normal"/>
    <w:next w:val="Normal"/>
    <w:link w:val="Heading2Char"/>
    <w:qFormat/>
    <w:rsid w:val="00961584"/>
    <w:pPr>
      <w:keepNext/>
      <w:tabs>
        <w:tab w:val="left" w:pos="567"/>
        <w:tab w:val="left" w:pos="1134"/>
      </w:tabs>
      <w:spacing w:before="360" w:after="180"/>
      <w:outlineLvl w:val="1"/>
    </w:pPr>
    <w:rPr>
      <w:b/>
      <w:bCs/>
      <w:iCs/>
      <w:color w:val="004F5A"/>
      <w:szCs w:val="28"/>
    </w:rPr>
  </w:style>
  <w:style w:type="paragraph" w:styleId="Heading3">
    <w:name w:val="heading 3"/>
    <w:basedOn w:val="Normal"/>
    <w:next w:val="Normal"/>
    <w:qFormat/>
    <w:rsid w:val="00961584"/>
    <w:pPr>
      <w:keepNext/>
      <w:tabs>
        <w:tab w:val="left" w:pos="1134"/>
      </w:tabs>
      <w:spacing w:before="360" w:after="180"/>
      <w:outlineLvl w:val="2"/>
    </w:pPr>
    <w:rPr>
      <w:b/>
      <w:bCs/>
      <w:szCs w:val="26"/>
    </w:rPr>
  </w:style>
  <w:style w:type="paragraph" w:styleId="Heading4">
    <w:name w:val="heading 4"/>
    <w:basedOn w:val="Normal"/>
    <w:next w:val="Normal"/>
    <w:qFormat/>
    <w:rsid w:val="00961584"/>
    <w:pPr>
      <w:keepNext/>
      <w:tabs>
        <w:tab w:val="left" w:pos="567"/>
        <w:tab w:val="left" w:pos="1134"/>
      </w:tabs>
      <w:spacing w:before="360" w:after="180"/>
      <w:outlineLvl w:val="3"/>
    </w:pPr>
    <w:rPr>
      <w:rFonts w:cs="Times New Roman"/>
      <w:bCs/>
      <w:szCs w:val="28"/>
      <w:u w:val="single"/>
    </w:rPr>
  </w:style>
  <w:style w:type="paragraph" w:styleId="Heading5">
    <w:name w:val="heading 5"/>
    <w:basedOn w:val="Normal"/>
    <w:next w:val="Normal"/>
    <w:qFormat/>
    <w:rsid w:val="00961584"/>
    <w:pPr>
      <w:spacing w:before="240" w:after="60"/>
      <w:outlineLvl w:val="4"/>
    </w:pPr>
    <w:rPr>
      <w:b/>
      <w:bCs/>
      <w:i/>
      <w:iCs/>
      <w:sz w:val="26"/>
      <w:szCs w:val="26"/>
    </w:rPr>
  </w:style>
  <w:style w:type="paragraph" w:styleId="Heading6">
    <w:name w:val="heading 6"/>
    <w:basedOn w:val="Normal"/>
    <w:next w:val="Normal"/>
    <w:rsid w:val="003146BD"/>
    <w:pPr>
      <w:numPr>
        <w:ilvl w:val="5"/>
        <w:numId w:val="14"/>
      </w:numPr>
      <w:spacing w:before="240" w:after="60"/>
      <w:outlineLvl w:val="5"/>
    </w:pPr>
    <w:rPr>
      <w:rFonts w:ascii="Times New Roman" w:hAnsi="Times New Roman" w:cs="Times New Roman"/>
      <w:b/>
      <w:bCs/>
      <w:sz w:val="22"/>
      <w:szCs w:val="22"/>
    </w:rPr>
  </w:style>
  <w:style w:type="paragraph" w:styleId="Heading7">
    <w:name w:val="heading 7"/>
    <w:basedOn w:val="Normal"/>
    <w:next w:val="Normal"/>
    <w:rsid w:val="003146BD"/>
    <w:pPr>
      <w:numPr>
        <w:ilvl w:val="6"/>
        <w:numId w:val="14"/>
      </w:numPr>
      <w:spacing w:before="240" w:after="60"/>
      <w:outlineLvl w:val="6"/>
    </w:pPr>
    <w:rPr>
      <w:rFonts w:ascii="Times New Roman" w:hAnsi="Times New Roman" w:cs="Times New Roman"/>
    </w:rPr>
  </w:style>
  <w:style w:type="paragraph" w:styleId="Heading8">
    <w:name w:val="heading 8"/>
    <w:basedOn w:val="Normal"/>
    <w:next w:val="Normal"/>
    <w:rsid w:val="003146BD"/>
    <w:pPr>
      <w:numPr>
        <w:ilvl w:val="7"/>
        <w:numId w:val="14"/>
      </w:numPr>
      <w:spacing w:before="240" w:after="60"/>
      <w:outlineLvl w:val="7"/>
    </w:pPr>
    <w:rPr>
      <w:rFonts w:ascii="Times New Roman" w:hAnsi="Times New Roman" w:cs="Times New Roman"/>
      <w:i/>
      <w:iCs/>
    </w:rPr>
  </w:style>
  <w:style w:type="paragraph" w:styleId="Heading9">
    <w:name w:val="heading 9"/>
    <w:basedOn w:val="Normal"/>
    <w:next w:val="Normal"/>
    <w:rsid w:val="003146BD"/>
    <w:pPr>
      <w:numPr>
        <w:ilvl w:val="8"/>
        <w:numId w:val="14"/>
      </w:numPr>
      <w:spacing w:before="240" w:after="60"/>
      <w:outlineLvl w:val="8"/>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454EE8"/>
    <w:rPr>
      <w:rFonts w:ascii="Tahoma" w:hAnsi="Tahoma" w:cs="Tahoma"/>
      <w:sz w:val="16"/>
      <w:szCs w:val="16"/>
    </w:rPr>
  </w:style>
  <w:style w:type="character" w:customStyle="1" w:styleId="BalloonTextChar">
    <w:name w:val="Balloon Text Char"/>
    <w:basedOn w:val="DefaultParagraphFont"/>
    <w:link w:val="BalloonText"/>
    <w:rsid w:val="00454EE8"/>
    <w:rPr>
      <w:rFonts w:ascii="Tahoma" w:hAnsi="Tahoma" w:cs="Tahoma"/>
      <w:sz w:val="16"/>
      <w:szCs w:val="16"/>
      <w:lang w:eastAsia="en-US"/>
    </w:rPr>
  </w:style>
  <w:style w:type="character" w:styleId="Strong">
    <w:name w:val="Strong"/>
    <w:basedOn w:val="DefaultParagraphFont"/>
    <w:rsid w:val="00A10F50"/>
    <w:rPr>
      <w:b/>
      <w:bCs/>
    </w:rPr>
  </w:style>
  <w:style w:type="paragraph" w:styleId="Subtitle">
    <w:name w:val="Subtitle"/>
    <w:basedOn w:val="Normal"/>
    <w:next w:val="Normal"/>
    <w:link w:val="SubtitleChar"/>
    <w:rsid w:val="00A10F50"/>
    <w:pPr>
      <w:numPr>
        <w:ilvl w:val="1"/>
      </w:numPr>
    </w:pPr>
    <w:rPr>
      <w:rFonts w:asciiTheme="majorHAnsi" w:eastAsiaTheme="majorEastAsia" w:hAnsiTheme="majorHAnsi" w:cstheme="majorBidi"/>
      <w:i/>
      <w:iCs/>
      <w:color w:val="6D8D23" w:themeColor="accent1"/>
      <w:spacing w:val="15"/>
    </w:rPr>
  </w:style>
  <w:style w:type="character" w:customStyle="1" w:styleId="SubtitleChar">
    <w:name w:val="Subtitle Char"/>
    <w:basedOn w:val="DefaultParagraphFont"/>
    <w:link w:val="Subtitle"/>
    <w:rsid w:val="00A10F50"/>
    <w:rPr>
      <w:rFonts w:asciiTheme="majorHAnsi" w:eastAsiaTheme="majorEastAsia" w:hAnsiTheme="majorHAnsi" w:cstheme="majorBidi"/>
      <w:i/>
      <w:iCs/>
      <w:color w:val="6D8D23" w:themeColor="accent1"/>
      <w:spacing w:val="15"/>
      <w:sz w:val="24"/>
      <w:szCs w:val="24"/>
      <w:lang w:eastAsia="en-US"/>
    </w:rPr>
  </w:style>
  <w:style w:type="paragraph" w:styleId="NoSpacing">
    <w:name w:val="No Spacing"/>
    <w:uiPriority w:val="1"/>
    <w:rsid w:val="00A10F50"/>
    <w:rPr>
      <w:rFonts w:ascii="Arial" w:hAnsi="Arial" w:cs="Arial"/>
      <w:sz w:val="24"/>
      <w:szCs w:val="24"/>
      <w:lang w:eastAsia="en-US"/>
    </w:rPr>
  </w:style>
  <w:style w:type="paragraph" w:styleId="Caption">
    <w:name w:val="caption"/>
    <w:aliases w:val="Photo Caption"/>
    <w:basedOn w:val="Normal"/>
    <w:next w:val="Normal"/>
    <w:qFormat/>
    <w:rsid w:val="002B73AC"/>
    <w:pPr>
      <w:spacing w:after="200"/>
    </w:pPr>
    <w:rPr>
      <w:rFonts w:asciiTheme="majorHAnsi" w:hAnsiTheme="majorHAnsi"/>
      <w:bCs/>
      <w:color w:val="808080" w:themeColor="background1" w:themeShade="80"/>
      <w:sz w:val="20"/>
      <w:szCs w:val="18"/>
    </w:rPr>
  </w:style>
  <w:style w:type="table" w:styleId="TableGrid">
    <w:name w:val="Table Grid"/>
    <w:basedOn w:val="TableNormal"/>
    <w:rsid w:val="00873B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TSCCorporateGreen">
    <w:name w:val="B. TSC Corporate Green"/>
    <w:basedOn w:val="TableNormal"/>
    <w:uiPriority w:val="99"/>
    <w:rsid w:val="000D7EC6"/>
    <w:rPr>
      <w:rFonts w:ascii="Arial" w:hAnsi="Arial"/>
    </w:rPr>
    <w:tblPr>
      <w:tblStyleRowBandSize w:val="1"/>
      <w:tblBorders>
        <w:top w:val="single" w:sz="4" w:space="0" w:color="566C11" w:themeColor="background2"/>
        <w:left w:val="single" w:sz="4" w:space="0" w:color="566C11" w:themeColor="background2"/>
        <w:bottom w:val="single" w:sz="4" w:space="0" w:color="566C11" w:themeColor="background2"/>
        <w:right w:val="single" w:sz="4" w:space="0" w:color="566C11" w:themeColor="background2"/>
        <w:insideH w:val="single" w:sz="4" w:space="0" w:color="566C11" w:themeColor="background2"/>
        <w:insideV w:val="single" w:sz="4" w:space="0" w:color="566C11" w:themeColor="background2"/>
      </w:tblBorders>
    </w:tblPr>
    <w:tcPr>
      <w:shd w:val="clear" w:color="auto" w:fill="auto"/>
    </w:tcPr>
    <w:tblStylePr w:type="firstRow">
      <w:rPr>
        <w:rFonts w:ascii="Arial" w:hAnsi="Arial"/>
        <w:b/>
        <w:color w:val="FFFFFF" w:themeColor="background1"/>
      </w:rPr>
      <w:tblPr/>
      <w:tcPr>
        <w:shd w:val="clear" w:color="auto" w:fill="566C11" w:themeFill="background2"/>
      </w:tcPr>
    </w:tblStylePr>
    <w:tblStylePr w:type="band1Horz">
      <w:tblPr/>
      <w:tcPr>
        <w:shd w:val="clear" w:color="auto" w:fill="E6F4BC" w:themeFill="background2" w:themeFillTint="33"/>
      </w:tcPr>
    </w:tblStylePr>
    <w:tblStylePr w:type="band2Horz">
      <w:tblPr/>
      <w:tcPr>
        <w:tcBorders>
          <w:top w:val="single" w:sz="4" w:space="0" w:color="566C11" w:themeColor="background2"/>
          <w:left w:val="single" w:sz="4" w:space="0" w:color="566C11" w:themeColor="background2"/>
          <w:bottom w:val="single" w:sz="4" w:space="0" w:color="566C11" w:themeColor="background2"/>
          <w:right w:val="single" w:sz="4" w:space="0" w:color="566C11" w:themeColor="background2"/>
          <w:insideH w:val="single" w:sz="4" w:space="0" w:color="566C11" w:themeColor="background2"/>
          <w:insideV w:val="single" w:sz="4" w:space="0" w:color="566C11" w:themeColor="background2"/>
        </w:tcBorders>
        <w:shd w:val="clear" w:color="auto" w:fill="CEEA79" w:themeFill="background2" w:themeFillTint="66"/>
      </w:tcPr>
    </w:tblStylePr>
  </w:style>
  <w:style w:type="table" w:customStyle="1" w:styleId="ATSCStandardGrey">
    <w:name w:val="A. TSC Standard Grey"/>
    <w:basedOn w:val="TableNormal"/>
    <w:uiPriority w:val="99"/>
    <w:rsid w:val="000D7EC6"/>
    <w:tblPr>
      <w:tblStyleRowBandSize w:val="1"/>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
    <w:tcPr>
      <w:shd w:val="clear" w:color="auto" w:fill="auto"/>
    </w:tcPr>
    <w:tblStylePr w:type="firstRow">
      <w:rPr>
        <w:rFonts w:ascii="Arial" w:hAnsi="Arial"/>
        <w:b/>
      </w:rPr>
    </w:tblStylePr>
  </w:style>
  <w:style w:type="table" w:styleId="Table3Deffects3">
    <w:name w:val="Table 3D effects 3"/>
    <w:basedOn w:val="TableNormal"/>
    <w:rsid w:val="004F101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4F101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4F101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MediumGrid1-Accent1">
    <w:name w:val="Medium Grid 1 Accent 1"/>
    <w:basedOn w:val="TableNormal"/>
    <w:uiPriority w:val="67"/>
    <w:rsid w:val="004F1010"/>
    <w:tblPr>
      <w:tblStyleRowBandSize w:val="1"/>
      <w:tblStyleColBandSize w:val="1"/>
      <w:tblBorders>
        <w:top w:val="single" w:sz="8" w:space="0" w:color="9FCD36" w:themeColor="accent1" w:themeTint="BF"/>
        <w:left w:val="single" w:sz="8" w:space="0" w:color="9FCD36" w:themeColor="accent1" w:themeTint="BF"/>
        <w:bottom w:val="single" w:sz="8" w:space="0" w:color="9FCD36" w:themeColor="accent1" w:themeTint="BF"/>
        <w:right w:val="single" w:sz="8" w:space="0" w:color="9FCD36" w:themeColor="accent1" w:themeTint="BF"/>
        <w:insideH w:val="single" w:sz="8" w:space="0" w:color="9FCD36" w:themeColor="accent1" w:themeTint="BF"/>
        <w:insideV w:val="single" w:sz="8" w:space="0" w:color="9FCD36" w:themeColor="accent1" w:themeTint="BF"/>
      </w:tblBorders>
    </w:tblPr>
    <w:tcPr>
      <w:shd w:val="clear" w:color="auto" w:fill="DFEEBC" w:themeFill="accent1" w:themeFillTint="3F"/>
    </w:tcPr>
    <w:tblStylePr w:type="firstRow">
      <w:rPr>
        <w:b/>
        <w:bCs/>
      </w:rPr>
    </w:tblStylePr>
    <w:tblStylePr w:type="lastRow">
      <w:rPr>
        <w:b/>
        <w:bCs/>
      </w:rPr>
      <w:tblPr/>
      <w:tcPr>
        <w:tcBorders>
          <w:top w:val="single" w:sz="18" w:space="0" w:color="9FCD36" w:themeColor="accent1" w:themeTint="BF"/>
        </w:tcBorders>
      </w:tcPr>
    </w:tblStylePr>
    <w:tblStylePr w:type="firstCol">
      <w:rPr>
        <w:b/>
        <w:bCs/>
      </w:rPr>
    </w:tblStylePr>
    <w:tblStylePr w:type="lastCol">
      <w:rPr>
        <w:b/>
        <w:bCs/>
      </w:rPr>
    </w:tblStylePr>
    <w:tblStylePr w:type="band1Vert">
      <w:tblPr/>
      <w:tcPr>
        <w:shd w:val="clear" w:color="auto" w:fill="BFDD79" w:themeFill="accent1" w:themeFillTint="7F"/>
      </w:tcPr>
    </w:tblStylePr>
    <w:tblStylePr w:type="band1Horz">
      <w:tblPr/>
      <w:tcPr>
        <w:shd w:val="clear" w:color="auto" w:fill="BFDD79" w:themeFill="accent1" w:themeFillTint="7F"/>
      </w:tcPr>
    </w:tblStylePr>
  </w:style>
  <w:style w:type="table" w:styleId="MediumShading2-Accent2">
    <w:name w:val="Medium Shading 2 Accent 2"/>
    <w:basedOn w:val="TableNormal"/>
    <w:uiPriority w:val="64"/>
    <w:rsid w:val="00F5014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5960B"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5960B" w:themeFill="accent2"/>
      </w:tcPr>
    </w:tblStylePr>
    <w:tblStylePr w:type="lastCol">
      <w:rPr>
        <w:b/>
        <w:bCs/>
        <w:color w:val="FFFFFF" w:themeColor="background1"/>
      </w:rPr>
      <w:tblPr/>
      <w:tcPr>
        <w:tcBorders>
          <w:left w:val="nil"/>
          <w:right w:val="nil"/>
          <w:insideH w:val="nil"/>
          <w:insideV w:val="nil"/>
        </w:tcBorders>
        <w:shd w:val="clear" w:color="auto" w:fill="C5960B"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F5014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6005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60050" w:themeFill="accent4"/>
      </w:tcPr>
    </w:tblStylePr>
    <w:tblStylePr w:type="lastCol">
      <w:rPr>
        <w:b/>
        <w:bCs/>
        <w:color w:val="FFFFFF" w:themeColor="background1"/>
      </w:rPr>
      <w:tblPr/>
      <w:tcPr>
        <w:tcBorders>
          <w:left w:val="nil"/>
          <w:right w:val="nil"/>
          <w:insideH w:val="nil"/>
          <w:insideV w:val="nil"/>
        </w:tcBorders>
        <w:shd w:val="clear" w:color="auto" w:fill="B6005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6">
    <w:name w:val="Light List Accent 6"/>
    <w:basedOn w:val="TableNormal"/>
    <w:uiPriority w:val="61"/>
    <w:rsid w:val="00F5014D"/>
    <w:tblPr>
      <w:tblStyleRowBandSize w:val="1"/>
      <w:tblStyleColBandSize w:val="1"/>
      <w:tblBorders>
        <w:top w:val="single" w:sz="8" w:space="0" w:color="7474C1" w:themeColor="accent6"/>
        <w:left w:val="single" w:sz="8" w:space="0" w:color="7474C1" w:themeColor="accent6"/>
        <w:bottom w:val="single" w:sz="8" w:space="0" w:color="7474C1" w:themeColor="accent6"/>
        <w:right w:val="single" w:sz="8" w:space="0" w:color="7474C1" w:themeColor="accent6"/>
      </w:tblBorders>
    </w:tblPr>
    <w:tblStylePr w:type="firstRow">
      <w:pPr>
        <w:spacing w:before="0" w:after="0" w:line="240" w:lineRule="auto"/>
      </w:pPr>
      <w:rPr>
        <w:b/>
        <w:bCs/>
        <w:color w:val="FFFFFF" w:themeColor="background1"/>
      </w:rPr>
      <w:tblPr/>
      <w:tcPr>
        <w:shd w:val="clear" w:color="auto" w:fill="7474C1" w:themeFill="accent6"/>
      </w:tcPr>
    </w:tblStylePr>
    <w:tblStylePr w:type="lastRow">
      <w:pPr>
        <w:spacing w:before="0" w:after="0" w:line="240" w:lineRule="auto"/>
      </w:pPr>
      <w:rPr>
        <w:b/>
        <w:bCs/>
      </w:rPr>
      <w:tblPr/>
      <w:tcPr>
        <w:tcBorders>
          <w:top w:val="double" w:sz="6" w:space="0" w:color="7474C1" w:themeColor="accent6"/>
          <w:left w:val="single" w:sz="8" w:space="0" w:color="7474C1" w:themeColor="accent6"/>
          <w:bottom w:val="single" w:sz="8" w:space="0" w:color="7474C1" w:themeColor="accent6"/>
          <w:right w:val="single" w:sz="8" w:space="0" w:color="7474C1" w:themeColor="accent6"/>
        </w:tcBorders>
      </w:tcPr>
    </w:tblStylePr>
    <w:tblStylePr w:type="firstCol">
      <w:rPr>
        <w:b/>
        <w:bCs/>
      </w:rPr>
    </w:tblStylePr>
    <w:tblStylePr w:type="lastCol">
      <w:rPr>
        <w:b/>
        <w:bCs/>
      </w:rPr>
    </w:tblStylePr>
    <w:tblStylePr w:type="band1Vert">
      <w:tblPr/>
      <w:tcPr>
        <w:tcBorders>
          <w:top w:val="single" w:sz="8" w:space="0" w:color="7474C1" w:themeColor="accent6"/>
          <w:left w:val="single" w:sz="8" w:space="0" w:color="7474C1" w:themeColor="accent6"/>
          <w:bottom w:val="single" w:sz="8" w:space="0" w:color="7474C1" w:themeColor="accent6"/>
          <w:right w:val="single" w:sz="8" w:space="0" w:color="7474C1" w:themeColor="accent6"/>
        </w:tcBorders>
      </w:tcPr>
    </w:tblStylePr>
    <w:tblStylePr w:type="band1Horz">
      <w:tblPr/>
      <w:tcPr>
        <w:tcBorders>
          <w:top w:val="single" w:sz="8" w:space="0" w:color="7474C1" w:themeColor="accent6"/>
          <w:left w:val="single" w:sz="8" w:space="0" w:color="7474C1" w:themeColor="accent6"/>
          <w:bottom w:val="single" w:sz="8" w:space="0" w:color="7474C1" w:themeColor="accent6"/>
          <w:right w:val="single" w:sz="8" w:space="0" w:color="7474C1" w:themeColor="accent6"/>
        </w:tcBorders>
      </w:tcPr>
    </w:tblStylePr>
  </w:style>
  <w:style w:type="table" w:styleId="LightList-Accent5">
    <w:name w:val="Light List Accent 5"/>
    <w:basedOn w:val="TableNormal"/>
    <w:uiPriority w:val="61"/>
    <w:rsid w:val="00F5014D"/>
    <w:tblPr>
      <w:tblStyleRowBandSize w:val="1"/>
      <w:tblStyleColBandSize w:val="1"/>
      <w:tblBorders>
        <w:top w:val="single" w:sz="8" w:space="0" w:color="00B2A9" w:themeColor="accent5"/>
        <w:left w:val="single" w:sz="8" w:space="0" w:color="00B2A9" w:themeColor="accent5"/>
        <w:bottom w:val="single" w:sz="8" w:space="0" w:color="00B2A9" w:themeColor="accent5"/>
        <w:right w:val="single" w:sz="8" w:space="0" w:color="00B2A9" w:themeColor="accent5"/>
      </w:tblBorders>
    </w:tblPr>
    <w:tblStylePr w:type="firstRow">
      <w:pPr>
        <w:spacing w:before="0" w:after="0" w:line="240" w:lineRule="auto"/>
      </w:pPr>
      <w:rPr>
        <w:b/>
        <w:bCs/>
        <w:color w:val="FFFFFF" w:themeColor="background1"/>
      </w:rPr>
      <w:tblPr/>
      <w:tcPr>
        <w:shd w:val="clear" w:color="auto" w:fill="00B2A9" w:themeFill="accent5"/>
      </w:tcPr>
    </w:tblStylePr>
    <w:tblStylePr w:type="lastRow">
      <w:pPr>
        <w:spacing w:before="0" w:after="0" w:line="240" w:lineRule="auto"/>
      </w:pPr>
      <w:rPr>
        <w:b/>
        <w:bCs/>
      </w:rPr>
      <w:tblPr/>
      <w:tcPr>
        <w:tcBorders>
          <w:top w:val="double" w:sz="6" w:space="0" w:color="00B2A9" w:themeColor="accent5"/>
          <w:left w:val="single" w:sz="8" w:space="0" w:color="00B2A9" w:themeColor="accent5"/>
          <w:bottom w:val="single" w:sz="8" w:space="0" w:color="00B2A9" w:themeColor="accent5"/>
          <w:right w:val="single" w:sz="8" w:space="0" w:color="00B2A9" w:themeColor="accent5"/>
        </w:tcBorders>
      </w:tcPr>
    </w:tblStylePr>
    <w:tblStylePr w:type="firstCol">
      <w:rPr>
        <w:b/>
        <w:bCs/>
      </w:rPr>
    </w:tblStylePr>
    <w:tblStylePr w:type="lastCol">
      <w:rPr>
        <w:b/>
        <w:bCs/>
      </w:rPr>
    </w:tblStylePr>
    <w:tblStylePr w:type="band1Vert">
      <w:tblPr/>
      <w:tcPr>
        <w:tcBorders>
          <w:top w:val="single" w:sz="8" w:space="0" w:color="00B2A9" w:themeColor="accent5"/>
          <w:left w:val="single" w:sz="8" w:space="0" w:color="00B2A9" w:themeColor="accent5"/>
          <w:bottom w:val="single" w:sz="8" w:space="0" w:color="00B2A9" w:themeColor="accent5"/>
          <w:right w:val="single" w:sz="8" w:space="0" w:color="00B2A9" w:themeColor="accent5"/>
        </w:tcBorders>
      </w:tcPr>
    </w:tblStylePr>
    <w:tblStylePr w:type="band1Horz">
      <w:tblPr/>
      <w:tcPr>
        <w:tcBorders>
          <w:top w:val="single" w:sz="8" w:space="0" w:color="00B2A9" w:themeColor="accent5"/>
          <w:left w:val="single" w:sz="8" w:space="0" w:color="00B2A9" w:themeColor="accent5"/>
          <w:bottom w:val="single" w:sz="8" w:space="0" w:color="00B2A9" w:themeColor="accent5"/>
          <w:right w:val="single" w:sz="8" w:space="0" w:color="00B2A9" w:themeColor="accent5"/>
        </w:tcBorders>
      </w:tcPr>
    </w:tblStylePr>
  </w:style>
  <w:style w:type="table" w:styleId="ColorfulList-Accent1">
    <w:name w:val="Colorful List Accent 1"/>
    <w:basedOn w:val="TableNormal"/>
    <w:uiPriority w:val="72"/>
    <w:rsid w:val="00F5014D"/>
    <w:rPr>
      <w:color w:val="004F5A" w:themeColor="text1"/>
    </w:rPr>
    <w:tblPr>
      <w:tblStyleRowBandSize w:val="1"/>
      <w:tblStyleColBandSize w:val="1"/>
    </w:tblPr>
    <w:tcPr>
      <w:shd w:val="clear" w:color="auto" w:fill="F2F8E4" w:themeFill="accent1" w:themeFillTint="19"/>
    </w:tcPr>
    <w:tblStylePr w:type="firstRow">
      <w:rPr>
        <w:b/>
        <w:bCs/>
        <w:color w:val="FFFFFF" w:themeColor="background1"/>
      </w:rPr>
      <w:tblPr/>
      <w:tcPr>
        <w:tcBorders>
          <w:bottom w:val="single" w:sz="12" w:space="0" w:color="FFFFFF" w:themeColor="background1"/>
        </w:tcBorders>
        <w:shd w:val="clear" w:color="auto" w:fill="9D7708" w:themeFill="accent2" w:themeFillShade="CC"/>
      </w:tcPr>
    </w:tblStylePr>
    <w:tblStylePr w:type="lastRow">
      <w:rPr>
        <w:b/>
        <w:bCs/>
        <w:color w:val="9D7708" w:themeColor="accent2" w:themeShade="CC"/>
      </w:rPr>
      <w:tblPr/>
      <w:tcPr>
        <w:tcBorders>
          <w:top w:val="single" w:sz="12" w:space="0" w:color="004F5A"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EBC" w:themeFill="accent1" w:themeFillTint="3F"/>
      </w:tcPr>
    </w:tblStylePr>
    <w:tblStylePr w:type="band1Horz">
      <w:tblPr/>
      <w:tcPr>
        <w:shd w:val="clear" w:color="auto" w:fill="E5F1C9" w:themeFill="accent1" w:themeFillTint="33"/>
      </w:tcPr>
    </w:tblStylePr>
  </w:style>
  <w:style w:type="table" w:styleId="ColorfulGrid-Accent1">
    <w:name w:val="Colorful Grid Accent 1"/>
    <w:basedOn w:val="TableNormal"/>
    <w:uiPriority w:val="73"/>
    <w:rsid w:val="00F5014D"/>
    <w:rPr>
      <w:color w:val="004F5A" w:themeColor="text1"/>
    </w:rPr>
    <w:tblPr>
      <w:tblStyleRowBandSize w:val="1"/>
      <w:tblStyleColBandSize w:val="1"/>
      <w:tblBorders>
        <w:insideH w:val="single" w:sz="4" w:space="0" w:color="FFFFFF" w:themeColor="background1"/>
      </w:tblBorders>
    </w:tblPr>
    <w:tcPr>
      <w:shd w:val="clear" w:color="auto" w:fill="E5F1C9" w:themeFill="accent1" w:themeFillTint="33"/>
    </w:tcPr>
    <w:tblStylePr w:type="firstRow">
      <w:rPr>
        <w:b/>
        <w:bCs/>
      </w:rPr>
      <w:tblPr/>
      <w:tcPr>
        <w:shd w:val="clear" w:color="auto" w:fill="CCE493" w:themeFill="accent1" w:themeFillTint="66"/>
      </w:tcPr>
    </w:tblStylePr>
    <w:tblStylePr w:type="lastRow">
      <w:rPr>
        <w:b/>
        <w:bCs/>
        <w:color w:val="004F5A" w:themeColor="text1"/>
      </w:rPr>
      <w:tblPr/>
      <w:tcPr>
        <w:shd w:val="clear" w:color="auto" w:fill="CCE493" w:themeFill="accent1" w:themeFillTint="66"/>
      </w:tcPr>
    </w:tblStylePr>
    <w:tblStylePr w:type="firstCol">
      <w:rPr>
        <w:color w:val="FFFFFF" w:themeColor="background1"/>
      </w:rPr>
      <w:tblPr/>
      <w:tcPr>
        <w:shd w:val="clear" w:color="auto" w:fill="51691A" w:themeFill="accent1" w:themeFillShade="BF"/>
      </w:tcPr>
    </w:tblStylePr>
    <w:tblStylePr w:type="lastCol">
      <w:rPr>
        <w:color w:val="FFFFFF" w:themeColor="background1"/>
      </w:rPr>
      <w:tblPr/>
      <w:tcPr>
        <w:shd w:val="clear" w:color="auto" w:fill="51691A" w:themeFill="accent1" w:themeFillShade="BF"/>
      </w:tcPr>
    </w:tblStylePr>
    <w:tblStylePr w:type="band1Vert">
      <w:tblPr/>
      <w:tcPr>
        <w:shd w:val="clear" w:color="auto" w:fill="BFDD79" w:themeFill="accent1" w:themeFillTint="7F"/>
      </w:tcPr>
    </w:tblStylePr>
    <w:tblStylePr w:type="band1Horz">
      <w:tblPr/>
      <w:tcPr>
        <w:shd w:val="clear" w:color="auto" w:fill="BFDD79" w:themeFill="accent1" w:themeFillTint="7F"/>
      </w:tcPr>
    </w:tblStylePr>
  </w:style>
  <w:style w:type="table" w:styleId="ColorfulGrid-Accent2">
    <w:name w:val="Colorful Grid Accent 2"/>
    <w:basedOn w:val="TableNormal"/>
    <w:uiPriority w:val="73"/>
    <w:rsid w:val="00F5014D"/>
    <w:rPr>
      <w:color w:val="004F5A" w:themeColor="text1"/>
    </w:rPr>
    <w:tblPr>
      <w:tblStyleRowBandSize w:val="1"/>
      <w:tblStyleColBandSize w:val="1"/>
      <w:tblBorders>
        <w:insideH w:val="single" w:sz="4" w:space="0" w:color="FFFFFF" w:themeColor="background1"/>
      </w:tblBorders>
    </w:tblPr>
    <w:tcPr>
      <w:shd w:val="clear" w:color="auto" w:fill="FBEDC5" w:themeFill="accent2" w:themeFillTint="33"/>
    </w:tcPr>
    <w:tblStylePr w:type="firstRow">
      <w:rPr>
        <w:b/>
        <w:bCs/>
      </w:rPr>
      <w:tblPr/>
      <w:tcPr>
        <w:shd w:val="clear" w:color="auto" w:fill="F8DD8C" w:themeFill="accent2" w:themeFillTint="66"/>
      </w:tcPr>
    </w:tblStylePr>
    <w:tblStylePr w:type="lastRow">
      <w:rPr>
        <w:b/>
        <w:bCs/>
        <w:color w:val="004F5A" w:themeColor="text1"/>
      </w:rPr>
      <w:tblPr/>
      <w:tcPr>
        <w:shd w:val="clear" w:color="auto" w:fill="F8DD8C" w:themeFill="accent2" w:themeFillTint="66"/>
      </w:tcPr>
    </w:tblStylePr>
    <w:tblStylePr w:type="firstCol">
      <w:rPr>
        <w:color w:val="FFFFFF" w:themeColor="background1"/>
      </w:rPr>
      <w:tblPr/>
      <w:tcPr>
        <w:shd w:val="clear" w:color="auto" w:fill="936F08" w:themeFill="accent2" w:themeFillShade="BF"/>
      </w:tcPr>
    </w:tblStylePr>
    <w:tblStylePr w:type="lastCol">
      <w:rPr>
        <w:color w:val="FFFFFF" w:themeColor="background1"/>
      </w:rPr>
      <w:tblPr/>
      <w:tcPr>
        <w:shd w:val="clear" w:color="auto" w:fill="936F08" w:themeFill="accent2" w:themeFillShade="BF"/>
      </w:tcPr>
    </w:tblStylePr>
    <w:tblStylePr w:type="band1Vert">
      <w:tblPr/>
      <w:tcPr>
        <w:shd w:val="clear" w:color="auto" w:fill="F7D470" w:themeFill="accent2" w:themeFillTint="7F"/>
      </w:tcPr>
    </w:tblStylePr>
    <w:tblStylePr w:type="band1Horz">
      <w:tblPr/>
      <w:tcPr>
        <w:shd w:val="clear" w:color="auto" w:fill="F7D470" w:themeFill="accent2" w:themeFillTint="7F"/>
      </w:tcPr>
    </w:tblStylePr>
  </w:style>
  <w:style w:type="table" w:styleId="ColorfulGrid-Accent3">
    <w:name w:val="Colorful Grid Accent 3"/>
    <w:basedOn w:val="TableNormal"/>
    <w:uiPriority w:val="73"/>
    <w:rsid w:val="00F5014D"/>
    <w:rPr>
      <w:color w:val="004F5A" w:themeColor="text1"/>
    </w:rPr>
    <w:tblPr>
      <w:tblStyleRowBandSize w:val="1"/>
      <w:tblStyleColBandSize w:val="1"/>
      <w:tblBorders>
        <w:insideH w:val="single" w:sz="4" w:space="0" w:color="FFFFFF" w:themeColor="background1"/>
      </w:tblBorders>
    </w:tblPr>
    <w:tcPr>
      <w:shd w:val="clear" w:color="auto" w:fill="DDEBF2" w:themeFill="accent3" w:themeFillTint="33"/>
    </w:tcPr>
    <w:tblStylePr w:type="firstRow">
      <w:rPr>
        <w:b/>
        <w:bCs/>
      </w:rPr>
      <w:tblPr/>
      <w:tcPr>
        <w:shd w:val="clear" w:color="auto" w:fill="BBD7E5" w:themeFill="accent3" w:themeFillTint="66"/>
      </w:tcPr>
    </w:tblStylePr>
    <w:tblStylePr w:type="lastRow">
      <w:rPr>
        <w:b/>
        <w:bCs/>
        <w:color w:val="004F5A" w:themeColor="text1"/>
      </w:rPr>
      <w:tblPr/>
      <w:tcPr>
        <w:shd w:val="clear" w:color="auto" w:fill="BBD7E5" w:themeFill="accent3" w:themeFillTint="66"/>
      </w:tcPr>
    </w:tblStylePr>
    <w:tblStylePr w:type="firstCol">
      <w:rPr>
        <w:color w:val="FFFFFF" w:themeColor="background1"/>
      </w:rPr>
      <w:tblPr/>
      <w:tcPr>
        <w:shd w:val="clear" w:color="auto" w:fill="397694" w:themeFill="accent3" w:themeFillShade="BF"/>
      </w:tcPr>
    </w:tblStylePr>
    <w:tblStylePr w:type="lastCol">
      <w:rPr>
        <w:color w:val="FFFFFF" w:themeColor="background1"/>
      </w:rPr>
      <w:tblPr/>
      <w:tcPr>
        <w:shd w:val="clear" w:color="auto" w:fill="397694" w:themeFill="accent3" w:themeFillShade="BF"/>
      </w:tcPr>
    </w:tblStylePr>
    <w:tblStylePr w:type="band1Vert">
      <w:tblPr/>
      <w:tcPr>
        <w:shd w:val="clear" w:color="auto" w:fill="AACDDE" w:themeFill="accent3" w:themeFillTint="7F"/>
      </w:tcPr>
    </w:tblStylePr>
    <w:tblStylePr w:type="band1Horz">
      <w:tblPr/>
      <w:tcPr>
        <w:shd w:val="clear" w:color="auto" w:fill="AACDDE" w:themeFill="accent3" w:themeFillTint="7F"/>
      </w:tcPr>
    </w:tblStylePr>
  </w:style>
  <w:style w:type="table" w:customStyle="1" w:styleId="GTSCTableSkyBlue">
    <w:name w:val="G. TSC Table Sky Blue"/>
    <w:basedOn w:val="TableNormal"/>
    <w:uiPriority w:val="99"/>
    <w:qFormat/>
    <w:rsid w:val="0095260D"/>
    <w:rPr>
      <w:rFonts w:ascii="Arial" w:hAnsi="Arial"/>
    </w:rPr>
    <w:tblPr>
      <w:tblStyleRowBandSize w:val="1"/>
      <w:tblBorders>
        <w:top w:val="single" w:sz="4" w:space="0" w:color="559CBE"/>
        <w:left w:val="single" w:sz="4" w:space="0" w:color="559CBE"/>
        <w:bottom w:val="single" w:sz="4" w:space="0" w:color="559CBE"/>
        <w:right w:val="single" w:sz="4" w:space="0" w:color="559CBE"/>
        <w:insideH w:val="single" w:sz="4" w:space="0" w:color="559CBE"/>
        <w:insideV w:val="single" w:sz="4" w:space="0" w:color="559CBE"/>
      </w:tblBorders>
    </w:tblPr>
    <w:tcPr>
      <w:shd w:val="clear" w:color="auto" w:fill="559CBE"/>
    </w:tcPr>
    <w:tblStylePr w:type="firstRow">
      <w:rPr>
        <w:rFonts w:ascii="Arial" w:hAnsi="Arial"/>
        <w:b/>
        <w:color w:val="004F5A" w:themeColor="text1"/>
        <w:sz w:val="20"/>
      </w:rPr>
    </w:tblStylePr>
    <w:tblStylePr w:type="band1Horz">
      <w:tblPr/>
      <w:tcPr>
        <w:shd w:val="clear" w:color="auto" w:fill="ECF4F8"/>
      </w:tcPr>
    </w:tblStylePr>
    <w:tblStylePr w:type="band2Horz">
      <w:tblPr/>
      <w:tcPr>
        <w:shd w:val="clear" w:color="auto" w:fill="BFDAE7"/>
      </w:tcPr>
    </w:tblStylePr>
  </w:style>
  <w:style w:type="table" w:customStyle="1" w:styleId="CTSCCorporateTeal">
    <w:name w:val="C. TSC Corporate Teal"/>
    <w:basedOn w:val="BTSCCorporateGreen"/>
    <w:uiPriority w:val="99"/>
    <w:rsid w:val="000D7EC6"/>
    <w:tblPr>
      <w:tblBorders>
        <w:top w:val="single" w:sz="4" w:space="0" w:color="004F5A" w:themeColor="text1"/>
        <w:left w:val="single" w:sz="4" w:space="0" w:color="004F5A" w:themeColor="text1"/>
        <w:bottom w:val="single" w:sz="4" w:space="0" w:color="004F5A" w:themeColor="text1"/>
        <w:right w:val="single" w:sz="4" w:space="0" w:color="004F5A" w:themeColor="text1"/>
        <w:insideH w:val="single" w:sz="4" w:space="0" w:color="004F5A" w:themeColor="text1"/>
        <w:insideV w:val="single" w:sz="4" w:space="0" w:color="004F5A" w:themeColor="text1"/>
      </w:tblBorders>
    </w:tblPr>
    <w:tcPr>
      <w:shd w:val="clear" w:color="auto" w:fill="auto"/>
    </w:tcPr>
    <w:tblStylePr w:type="firstRow">
      <w:rPr>
        <w:rFonts w:ascii="Arial" w:hAnsi="Arial"/>
        <w:b/>
        <w:color w:val="FFFFFF" w:themeColor="background1"/>
      </w:rPr>
      <w:tblPr/>
      <w:tcPr>
        <w:shd w:val="clear" w:color="auto" w:fill="004F5A" w:themeFill="text1"/>
      </w:tcPr>
    </w:tblStylePr>
    <w:tblStylePr w:type="band1Horz">
      <w:tblPr/>
      <w:tcPr>
        <w:shd w:val="clear" w:color="auto" w:fill="D4F9FF" w:themeFill="text1" w:themeFillTint="1A"/>
      </w:tcPr>
    </w:tblStylePr>
    <w:tblStylePr w:type="band2Horz">
      <w:rPr>
        <w:color w:val="auto"/>
      </w:rPr>
      <w:tblPr/>
      <w:tcPr>
        <w:tcBorders>
          <w:top w:val="single" w:sz="4" w:space="0" w:color="566C11" w:themeColor="background2"/>
          <w:left w:val="single" w:sz="4" w:space="0" w:color="566C11" w:themeColor="background2"/>
          <w:bottom w:val="single" w:sz="4" w:space="0" w:color="566C11" w:themeColor="background2"/>
          <w:right w:val="single" w:sz="4" w:space="0" w:color="566C11" w:themeColor="background2"/>
          <w:insideH w:val="single" w:sz="4" w:space="0" w:color="566C11" w:themeColor="background2"/>
          <w:insideV w:val="single" w:sz="4" w:space="0" w:color="566C11" w:themeColor="background2"/>
        </w:tcBorders>
        <w:shd w:val="clear" w:color="auto" w:fill="95F1FF" w:themeFill="text1" w:themeFillTint="40"/>
      </w:tcPr>
    </w:tblStylePr>
  </w:style>
  <w:style w:type="table" w:styleId="ColorfulGrid-Accent6">
    <w:name w:val="Colorful Grid Accent 6"/>
    <w:basedOn w:val="TableNormal"/>
    <w:uiPriority w:val="73"/>
    <w:rsid w:val="00C70E1B"/>
    <w:rPr>
      <w:color w:val="004F5A" w:themeColor="text1"/>
    </w:rPr>
    <w:tblPr>
      <w:tblStyleRowBandSize w:val="1"/>
      <w:tblStyleColBandSize w:val="1"/>
      <w:tblBorders>
        <w:insideH w:val="single" w:sz="4" w:space="0" w:color="FFFFFF" w:themeColor="background1"/>
      </w:tblBorders>
    </w:tblPr>
    <w:tcPr>
      <w:shd w:val="clear" w:color="auto" w:fill="E3E3F2" w:themeFill="accent6" w:themeFillTint="33"/>
    </w:tcPr>
    <w:tblStylePr w:type="firstRow">
      <w:rPr>
        <w:b/>
        <w:bCs/>
      </w:rPr>
      <w:tblPr/>
      <w:tcPr>
        <w:shd w:val="clear" w:color="auto" w:fill="C7C7E6" w:themeFill="accent6" w:themeFillTint="66"/>
      </w:tcPr>
    </w:tblStylePr>
    <w:tblStylePr w:type="lastRow">
      <w:rPr>
        <w:b/>
        <w:bCs/>
        <w:color w:val="004F5A" w:themeColor="text1"/>
      </w:rPr>
      <w:tblPr/>
      <w:tcPr>
        <w:shd w:val="clear" w:color="auto" w:fill="C7C7E6" w:themeFill="accent6" w:themeFillTint="66"/>
      </w:tcPr>
    </w:tblStylePr>
    <w:tblStylePr w:type="firstCol">
      <w:rPr>
        <w:color w:val="FFFFFF" w:themeColor="background1"/>
      </w:rPr>
      <w:tblPr/>
      <w:tcPr>
        <w:shd w:val="clear" w:color="auto" w:fill="47479F" w:themeFill="accent6" w:themeFillShade="BF"/>
      </w:tcPr>
    </w:tblStylePr>
    <w:tblStylePr w:type="lastCol">
      <w:rPr>
        <w:color w:val="FFFFFF" w:themeColor="background1"/>
      </w:rPr>
      <w:tblPr/>
      <w:tcPr>
        <w:shd w:val="clear" w:color="auto" w:fill="47479F" w:themeFill="accent6" w:themeFillShade="BF"/>
      </w:tcPr>
    </w:tblStylePr>
    <w:tblStylePr w:type="band1Vert">
      <w:tblPr/>
      <w:tcPr>
        <w:shd w:val="clear" w:color="auto" w:fill="B9B9E0" w:themeFill="accent6" w:themeFillTint="7F"/>
      </w:tcPr>
    </w:tblStylePr>
    <w:tblStylePr w:type="band1Horz">
      <w:tblPr/>
      <w:tcPr>
        <w:shd w:val="clear" w:color="auto" w:fill="B9B9E0" w:themeFill="accent6" w:themeFillTint="7F"/>
      </w:tcPr>
    </w:tblStylePr>
  </w:style>
  <w:style w:type="table" w:customStyle="1" w:styleId="ITSCTableHeritageGrey">
    <w:name w:val="I. TSC Table Heritage Grey"/>
    <w:basedOn w:val="TableNormal"/>
    <w:uiPriority w:val="99"/>
    <w:qFormat/>
    <w:rsid w:val="0095260D"/>
    <w:rPr>
      <w:rFonts w:ascii="Arial" w:hAnsi="Arial"/>
    </w:rPr>
    <w:tblPr>
      <w:tblStyleRowBandSize w:val="1"/>
      <w:tblBorders>
        <w:top w:val="single" w:sz="4" w:space="0" w:color="7D6A55"/>
        <w:left w:val="single" w:sz="4" w:space="0" w:color="7D6A55"/>
        <w:bottom w:val="single" w:sz="4" w:space="0" w:color="7D6A55"/>
        <w:right w:val="single" w:sz="4" w:space="0" w:color="7D6A55"/>
        <w:insideH w:val="single" w:sz="4" w:space="0" w:color="7D6A55"/>
        <w:insideV w:val="single" w:sz="4" w:space="0" w:color="7D6A55"/>
      </w:tblBorders>
    </w:tblPr>
    <w:tblStylePr w:type="firstRow">
      <w:rPr>
        <w:rFonts w:ascii="Arial" w:hAnsi="Arial"/>
        <w:b/>
        <w:color w:val="004F5A" w:themeColor="text1"/>
      </w:rPr>
      <w:tblPr/>
      <w:tcPr>
        <w:shd w:val="clear" w:color="auto" w:fill="937C63"/>
      </w:tcPr>
    </w:tblStylePr>
    <w:tblStylePr w:type="band1Horz">
      <w:tblPr/>
      <w:tcPr>
        <w:shd w:val="clear" w:color="auto" w:fill="F0ECE8"/>
      </w:tcPr>
    </w:tblStylePr>
    <w:tblStylePr w:type="band2Horz">
      <w:tblPr/>
      <w:tcPr>
        <w:shd w:val="clear" w:color="auto" w:fill="E3DBD3"/>
      </w:tcPr>
    </w:tblStylePr>
  </w:style>
  <w:style w:type="table" w:customStyle="1" w:styleId="ETSCTableCoolamonRouge">
    <w:name w:val="E. TSC Table Coolamon Rouge"/>
    <w:basedOn w:val="TableNormal"/>
    <w:uiPriority w:val="99"/>
    <w:qFormat/>
    <w:rsid w:val="0095260D"/>
    <w:rPr>
      <w:rFonts w:ascii="Arial" w:hAnsi="Arial"/>
    </w:rPr>
    <w:tblPr>
      <w:tblStyleRowBandSize w:val="1"/>
      <w:tblBorders>
        <w:top w:val="single" w:sz="4" w:space="0" w:color="B60050"/>
        <w:left w:val="single" w:sz="4" w:space="0" w:color="B60050"/>
        <w:bottom w:val="single" w:sz="4" w:space="0" w:color="B60050"/>
        <w:right w:val="single" w:sz="4" w:space="0" w:color="B60050"/>
        <w:insideH w:val="single" w:sz="4" w:space="0" w:color="B60050"/>
        <w:insideV w:val="single" w:sz="4" w:space="0" w:color="B60050"/>
      </w:tblBorders>
    </w:tblPr>
    <w:tcPr>
      <w:shd w:val="clear" w:color="auto" w:fill="auto"/>
    </w:tcPr>
    <w:tblStylePr w:type="firstRow">
      <w:rPr>
        <w:rFonts w:ascii="Arial" w:hAnsi="Arial"/>
        <w:b/>
        <w:color w:val="004F5A" w:themeColor="text1"/>
      </w:rPr>
      <w:tblPr/>
      <w:tcPr>
        <w:tcBorders>
          <w:top w:val="single" w:sz="4" w:space="0" w:color="B60050"/>
          <w:left w:val="single" w:sz="4" w:space="0" w:color="B60050"/>
          <w:bottom w:val="single" w:sz="4" w:space="0" w:color="B60050"/>
          <w:right w:val="single" w:sz="4" w:space="0" w:color="B60050"/>
          <w:insideH w:val="single" w:sz="4" w:space="0" w:color="B60050"/>
          <w:insideV w:val="single" w:sz="4" w:space="0" w:color="B60050"/>
        </w:tcBorders>
        <w:shd w:val="clear" w:color="auto" w:fill="B60050"/>
      </w:tcPr>
    </w:tblStylePr>
    <w:tblStylePr w:type="band1Horz">
      <w:tblPr/>
      <w:tcPr>
        <w:shd w:val="clear" w:color="auto" w:fill="FFE5F0"/>
      </w:tcPr>
    </w:tblStylePr>
    <w:tblStylePr w:type="band2Horz">
      <w:tblPr/>
      <w:tcPr>
        <w:shd w:val="clear" w:color="auto" w:fill="FFC9E0"/>
      </w:tcPr>
    </w:tblStylePr>
  </w:style>
  <w:style w:type="table" w:customStyle="1" w:styleId="FTSCTableHeritageOrange">
    <w:name w:val="F. TSC Table Heritage Orange"/>
    <w:basedOn w:val="TableNormal"/>
    <w:uiPriority w:val="99"/>
    <w:qFormat/>
    <w:rsid w:val="0095260D"/>
    <w:rPr>
      <w:rFonts w:ascii="Arial" w:hAnsi="Arial"/>
    </w:rPr>
    <w:tblPr>
      <w:tblStyleRowBandSize w:val="1"/>
      <w:tblBorders>
        <w:top w:val="single" w:sz="4" w:space="0" w:color="CF7019"/>
        <w:left w:val="single" w:sz="4" w:space="0" w:color="CF7019"/>
        <w:bottom w:val="single" w:sz="4" w:space="0" w:color="CF7019"/>
        <w:right w:val="single" w:sz="4" w:space="0" w:color="CF7019"/>
        <w:insideH w:val="single" w:sz="4" w:space="0" w:color="CF7019"/>
        <w:insideV w:val="single" w:sz="4" w:space="0" w:color="CF7019"/>
      </w:tblBorders>
    </w:tblPr>
    <w:tblStylePr w:type="firstRow">
      <w:rPr>
        <w:rFonts w:ascii="Arial" w:hAnsi="Arial"/>
        <w:b/>
        <w:color w:val="004F5A" w:themeColor="text1"/>
      </w:rPr>
      <w:tblPr/>
      <w:tcPr>
        <w:shd w:val="clear" w:color="auto" w:fill="CF7019"/>
      </w:tcPr>
    </w:tblStylePr>
    <w:tblStylePr w:type="band1Horz">
      <w:tblPr/>
      <w:tcPr>
        <w:shd w:val="clear" w:color="auto" w:fill="FBEDE1"/>
      </w:tcPr>
    </w:tblStylePr>
    <w:tblStylePr w:type="band2Horz">
      <w:tblPr/>
      <w:tcPr>
        <w:shd w:val="clear" w:color="auto" w:fill="F7D9C1"/>
      </w:tcPr>
    </w:tblStylePr>
  </w:style>
  <w:style w:type="table" w:customStyle="1" w:styleId="JTSCTableVibrantYellow">
    <w:name w:val="J. TSC Table Vibrant Yellow"/>
    <w:basedOn w:val="TableNormal"/>
    <w:uiPriority w:val="99"/>
    <w:qFormat/>
    <w:rsid w:val="0095260D"/>
    <w:rPr>
      <w:rFonts w:ascii="Arial" w:hAnsi="Arial"/>
    </w:rPr>
    <w:tblPr>
      <w:tblStyleRowBandSize w:val="1"/>
      <w:tblBorders>
        <w:top w:val="single" w:sz="4" w:space="0" w:color="C5960B"/>
        <w:left w:val="single" w:sz="4" w:space="0" w:color="C5960B"/>
        <w:bottom w:val="single" w:sz="4" w:space="0" w:color="C5960B"/>
        <w:right w:val="single" w:sz="4" w:space="0" w:color="C5960B"/>
        <w:insideH w:val="single" w:sz="4" w:space="0" w:color="C5960B"/>
        <w:insideV w:val="single" w:sz="4" w:space="0" w:color="C5960B"/>
      </w:tblBorders>
    </w:tblPr>
    <w:tcPr>
      <w:shd w:val="clear" w:color="auto" w:fill="auto"/>
    </w:tcPr>
    <w:tblStylePr w:type="firstRow">
      <w:rPr>
        <w:rFonts w:ascii="Arial" w:hAnsi="Arial"/>
        <w:b/>
        <w:color w:val="004F5A" w:themeColor="text1"/>
        <w:sz w:val="20"/>
      </w:rPr>
      <w:tblPr/>
      <w:tcPr>
        <w:shd w:val="clear" w:color="auto" w:fill="C5960B"/>
      </w:tcPr>
    </w:tblStylePr>
    <w:tblStylePr w:type="band1Horz">
      <w:tblPr/>
      <w:tcPr>
        <w:shd w:val="clear" w:color="auto" w:fill="FDF3D7"/>
      </w:tcPr>
    </w:tblStylePr>
    <w:tblStylePr w:type="band2Horz">
      <w:tblPr/>
      <w:tcPr>
        <w:shd w:val="clear" w:color="auto" w:fill="FAE2A0"/>
      </w:tcPr>
    </w:tblStylePr>
  </w:style>
  <w:style w:type="table" w:customStyle="1" w:styleId="HTSCTableSugarCaneGreen">
    <w:name w:val="H. TSC Table Sugar Cane Green"/>
    <w:basedOn w:val="TableNormal"/>
    <w:uiPriority w:val="99"/>
    <w:qFormat/>
    <w:rsid w:val="0095260D"/>
    <w:rPr>
      <w:rFonts w:ascii="Arial" w:hAnsi="Arial"/>
    </w:rPr>
    <w:tblPr>
      <w:tblStyleRowBandSize w:val="1"/>
      <w:tblBorders>
        <w:top w:val="single" w:sz="4" w:space="0" w:color="6D8D23"/>
        <w:left w:val="single" w:sz="4" w:space="0" w:color="6D8D23"/>
        <w:bottom w:val="single" w:sz="4" w:space="0" w:color="6D8D23"/>
        <w:right w:val="single" w:sz="4" w:space="0" w:color="6D8D23"/>
        <w:insideH w:val="single" w:sz="4" w:space="0" w:color="6D8D23"/>
        <w:insideV w:val="single" w:sz="4" w:space="0" w:color="6D8D23"/>
      </w:tblBorders>
    </w:tblPr>
    <w:tcPr>
      <w:shd w:val="clear" w:color="auto" w:fill="auto"/>
    </w:tcPr>
    <w:tblStylePr w:type="firstRow">
      <w:rPr>
        <w:b/>
        <w:color w:val="004F5A" w:themeColor="text1"/>
      </w:rPr>
      <w:tblPr/>
      <w:tcPr>
        <w:shd w:val="clear" w:color="auto" w:fill="6D8D23"/>
      </w:tcPr>
    </w:tblStylePr>
    <w:tblStylePr w:type="band1Horz">
      <w:tblPr/>
      <w:tcPr>
        <w:shd w:val="clear" w:color="auto" w:fill="EAF4D4"/>
      </w:tcPr>
    </w:tblStylePr>
    <w:tblStylePr w:type="band2Horz">
      <w:rPr>
        <w:rFonts w:ascii="Arial" w:hAnsi="Arial"/>
        <w:sz w:val="20"/>
      </w:rPr>
      <w:tblPr/>
      <w:tcPr>
        <w:shd w:val="clear" w:color="auto" w:fill="D8EBAF"/>
      </w:tcPr>
    </w:tblStylePr>
  </w:style>
  <w:style w:type="paragraph" w:styleId="Header">
    <w:name w:val="header"/>
    <w:basedOn w:val="Normal"/>
    <w:link w:val="HeaderChar"/>
    <w:rsid w:val="00EC6780"/>
    <w:pPr>
      <w:tabs>
        <w:tab w:val="center" w:pos="4513"/>
        <w:tab w:val="right" w:pos="9026"/>
      </w:tabs>
    </w:pPr>
  </w:style>
  <w:style w:type="character" w:customStyle="1" w:styleId="HeaderChar">
    <w:name w:val="Header Char"/>
    <w:basedOn w:val="DefaultParagraphFont"/>
    <w:link w:val="Header"/>
    <w:rsid w:val="00EC6780"/>
    <w:rPr>
      <w:rFonts w:ascii="Arial" w:hAnsi="Arial" w:cs="Arial"/>
      <w:sz w:val="24"/>
      <w:szCs w:val="24"/>
      <w:lang w:eastAsia="en-US"/>
    </w:rPr>
  </w:style>
  <w:style w:type="paragraph" w:styleId="Footer">
    <w:name w:val="footer"/>
    <w:basedOn w:val="Normal"/>
    <w:link w:val="FooterChar"/>
    <w:rsid w:val="00EC6780"/>
    <w:pPr>
      <w:tabs>
        <w:tab w:val="center" w:pos="4513"/>
        <w:tab w:val="right" w:pos="9026"/>
      </w:tabs>
    </w:pPr>
  </w:style>
  <w:style w:type="character" w:customStyle="1" w:styleId="FooterChar">
    <w:name w:val="Footer Char"/>
    <w:basedOn w:val="DefaultParagraphFont"/>
    <w:link w:val="Footer"/>
    <w:rsid w:val="00EC6780"/>
    <w:rPr>
      <w:rFonts w:ascii="Arial" w:hAnsi="Arial" w:cs="Arial"/>
      <w:sz w:val="24"/>
      <w:szCs w:val="24"/>
      <w:lang w:eastAsia="en-US"/>
    </w:rPr>
  </w:style>
  <w:style w:type="paragraph" w:styleId="TOC1">
    <w:name w:val="toc 1"/>
    <w:basedOn w:val="Normal"/>
    <w:next w:val="Normal"/>
    <w:autoRedefine/>
    <w:uiPriority w:val="39"/>
    <w:rsid w:val="00D9455F"/>
    <w:pPr>
      <w:spacing w:after="100"/>
    </w:pPr>
  </w:style>
  <w:style w:type="paragraph" w:styleId="TOC2">
    <w:name w:val="toc 2"/>
    <w:basedOn w:val="Normal"/>
    <w:next w:val="Normal"/>
    <w:autoRedefine/>
    <w:uiPriority w:val="39"/>
    <w:rsid w:val="00D9455F"/>
    <w:pPr>
      <w:spacing w:after="100"/>
      <w:ind w:left="240"/>
    </w:pPr>
  </w:style>
  <w:style w:type="paragraph" w:styleId="TOC3">
    <w:name w:val="toc 3"/>
    <w:basedOn w:val="Normal"/>
    <w:next w:val="Normal"/>
    <w:autoRedefine/>
    <w:uiPriority w:val="39"/>
    <w:rsid w:val="00D9455F"/>
    <w:pPr>
      <w:spacing w:after="100"/>
      <w:ind w:left="480"/>
    </w:pPr>
  </w:style>
  <w:style w:type="character" w:styleId="Hyperlink">
    <w:name w:val="Hyperlink"/>
    <w:basedOn w:val="DefaultParagraphFont"/>
    <w:uiPriority w:val="99"/>
    <w:unhideWhenUsed/>
    <w:rsid w:val="00D9455F"/>
    <w:rPr>
      <w:color w:val="559CBE" w:themeColor="hyperlink"/>
      <w:u w:val="single"/>
    </w:rPr>
  </w:style>
  <w:style w:type="paragraph" w:styleId="TOC4">
    <w:name w:val="toc 4"/>
    <w:basedOn w:val="Normal"/>
    <w:next w:val="Normal"/>
    <w:autoRedefine/>
    <w:rsid w:val="00D9455F"/>
    <w:pPr>
      <w:spacing w:after="100"/>
      <w:ind w:left="720"/>
    </w:pPr>
  </w:style>
  <w:style w:type="paragraph" w:styleId="TOC5">
    <w:name w:val="toc 5"/>
    <w:basedOn w:val="Normal"/>
    <w:next w:val="Normal"/>
    <w:autoRedefine/>
    <w:rsid w:val="00D9455F"/>
    <w:pPr>
      <w:spacing w:after="100"/>
      <w:ind w:left="960"/>
    </w:pPr>
  </w:style>
  <w:style w:type="paragraph" w:styleId="TOC6">
    <w:name w:val="toc 6"/>
    <w:basedOn w:val="Normal"/>
    <w:next w:val="Normal"/>
    <w:autoRedefine/>
    <w:rsid w:val="00D9455F"/>
    <w:pPr>
      <w:spacing w:after="100"/>
      <w:ind w:left="1200"/>
    </w:pPr>
  </w:style>
  <w:style w:type="paragraph" w:styleId="TOC7">
    <w:name w:val="toc 7"/>
    <w:basedOn w:val="Normal"/>
    <w:next w:val="Normal"/>
    <w:autoRedefine/>
    <w:rsid w:val="00D9455F"/>
    <w:pPr>
      <w:spacing w:after="100"/>
      <w:ind w:left="1440"/>
    </w:pPr>
  </w:style>
  <w:style w:type="paragraph" w:styleId="TOC8">
    <w:name w:val="toc 8"/>
    <w:basedOn w:val="Normal"/>
    <w:next w:val="Normal"/>
    <w:autoRedefine/>
    <w:rsid w:val="00D9455F"/>
    <w:pPr>
      <w:spacing w:after="100"/>
      <w:ind w:left="1680"/>
    </w:pPr>
  </w:style>
  <w:style w:type="paragraph" w:styleId="TOC9">
    <w:name w:val="toc 9"/>
    <w:basedOn w:val="Normal"/>
    <w:next w:val="Normal"/>
    <w:autoRedefine/>
    <w:rsid w:val="00D9455F"/>
    <w:pPr>
      <w:spacing w:after="100"/>
      <w:ind w:left="1920"/>
    </w:pPr>
  </w:style>
  <w:style w:type="paragraph" w:styleId="TOCHeading">
    <w:name w:val="TOC Heading"/>
    <w:basedOn w:val="Heading1"/>
    <w:next w:val="Normal"/>
    <w:uiPriority w:val="39"/>
    <w:semiHidden/>
    <w:unhideWhenUsed/>
    <w:qFormat/>
    <w:rsid w:val="00D9455F"/>
    <w:pPr>
      <w:keepLines/>
      <w:spacing w:before="480" w:after="0" w:line="276" w:lineRule="auto"/>
      <w:outlineLvl w:val="9"/>
    </w:pPr>
    <w:rPr>
      <w:rFonts w:asciiTheme="majorHAnsi" w:eastAsiaTheme="majorEastAsia" w:hAnsiTheme="majorHAnsi" w:cstheme="majorBidi"/>
      <w:color w:val="51691A" w:themeColor="accent1" w:themeShade="BF"/>
      <w:kern w:val="0"/>
      <w:lang w:val="en-US"/>
    </w:rPr>
  </w:style>
  <w:style w:type="table" w:styleId="LightShading-Accent1">
    <w:name w:val="Light Shading Accent 1"/>
    <w:basedOn w:val="TableNormal"/>
    <w:uiPriority w:val="60"/>
    <w:rsid w:val="00961584"/>
    <w:rPr>
      <w:color w:val="51691A" w:themeColor="accent1" w:themeShade="BF"/>
    </w:rPr>
    <w:tblPr>
      <w:tblStyleRowBandSize w:val="1"/>
      <w:tblStyleColBandSize w:val="1"/>
      <w:tblBorders>
        <w:top w:val="single" w:sz="8" w:space="0" w:color="6D8D23" w:themeColor="accent1"/>
        <w:bottom w:val="single" w:sz="8" w:space="0" w:color="6D8D23" w:themeColor="accent1"/>
      </w:tblBorders>
    </w:tblPr>
    <w:tblStylePr w:type="firstRow">
      <w:pPr>
        <w:spacing w:before="0" w:after="0" w:line="240" w:lineRule="auto"/>
      </w:pPr>
      <w:rPr>
        <w:b/>
        <w:bCs/>
      </w:rPr>
      <w:tblPr/>
      <w:tcPr>
        <w:tcBorders>
          <w:top w:val="single" w:sz="8" w:space="0" w:color="6D8D23" w:themeColor="accent1"/>
          <w:left w:val="nil"/>
          <w:bottom w:val="single" w:sz="8" w:space="0" w:color="6D8D23" w:themeColor="accent1"/>
          <w:right w:val="nil"/>
          <w:insideH w:val="nil"/>
          <w:insideV w:val="nil"/>
        </w:tcBorders>
      </w:tcPr>
    </w:tblStylePr>
    <w:tblStylePr w:type="lastRow">
      <w:pPr>
        <w:spacing w:before="0" w:after="0" w:line="240" w:lineRule="auto"/>
      </w:pPr>
      <w:rPr>
        <w:b/>
        <w:bCs/>
      </w:rPr>
      <w:tblPr/>
      <w:tcPr>
        <w:tcBorders>
          <w:top w:val="single" w:sz="8" w:space="0" w:color="6D8D23" w:themeColor="accent1"/>
          <w:left w:val="nil"/>
          <w:bottom w:val="single" w:sz="8" w:space="0" w:color="6D8D2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EBC" w:themeFill="accent1" w:themeFillTint="3F"/>
      </w:tcPr>
    </w:tblStylePr>
    <w:tblStylePr w:type="band1Horz">
      <w:tblPr/>
      <w:tcPr>
        <w:tcBorders>
          <w:left w:val="nil"/>
          <w:right w:val="nil"/>
          <w:insideH w:val="nil"/>
          <w:insideV w:val="nil"/>
        </w:tcBorders>
        <w:shd w:val="clear" w:color="auto" w:fill="DFEEBC" w:themeFill="accent1" w:themeFillTint="3F"/>
      </w:tcPr>
    </w:tblStylePr>
  </w:style>
  <w:style w:type="table" w:styleId="LightList-Accent1">
    <w:name w:val="Light List Accent 1"/>
    <w:basedOn w:val="TableNormal"/>
    <w:uiPriority w:val="61"/>
    <w:rsid w:val="00961584"/>
    <w:tblPr>
      <w:tblStyleRowBandSize w:val="1"/>
      <w:tblStyleColBandSize w:val="1"/>
      <w:tblBorders>
        <w:top w:val="single" w:sz="8" w:space="0" w:color="6D8D23" w:themeColor="accent1"/>
        <w:left w:val="single" w:sz="8" w:space="0" w:color="6D8D23" w:themeColor="accent1"/>
        <w:bottom w:val="single" w:sz="8" w:space="0" w:color="6D8D23" w:themeColor="accent1"/>
        <w:right w:val="single" w:sz="8" w:space="0" w:color="6D8D23" w:themeColor="accent1"/>
      </w:tblBorders>
    </w:tblPr>
    <w:tblStylePr w:type="firstRow">
      <w:pPr>
        <w:spacing w:before="0" w:after="0" w:line="240" w:lineRule="auto"/>
      </w:pPr>
      <w:rPr>
        <w:b/>
        <w:bCs/>
        <w:color w:val="FFFFFF" w:themeColor="background1"/>
      </w:rPr>
      <w:tblPr/>
      <w:tcPr>
        <w:shd w:val="clear" w:color="auto" w:fill="6D8D23" w:themeFill="accent1"/>
      </w:tcPr>
    </w:tblStylePr>
    <w:tblStylePr w:type="lastRow">
      <w:pPr>
        <w:spacing w:before="0" w:after="0" w:line="240" w:lineRule="auto"/>
      </w:pPr>
      <w:rPr>
        <w:b/>
        <w:bCs/>
      </w:rPr>
      <w:tblPr/>
      <w:tcPr>
        <w:tcBorders>
          <w:top w:val="double" w:sz="6" w:space="0" w:color="6D8D23" w:themeColor="accent1"/>
          <w:left w:val="single" w:sz="8" w:space="0" w:color="6D8D23" w:themeColor="accent1"/>
          <w:bottom w:val="single" w:sz="8" w:space="0" w:color="6D8D23" w:themeColor="accent1"/>
          <w:right w:val="single" w:sz="8" w:space="0" w:color="6D8D23" w:themeColor="accent1"/>
        </w:tcBorders>
      </w:tcPr>
    </w:tblStylePr>
    <w:tblStylePr w:type="firstCol">
      <w:rPr>
        <w:b/>
        <w:bCs/>
      </w:rPr>
    </w:tblStylePr>
    <w:tblStylePr w:type="lastCol">
      <w:rPr>
        <w:b/>
        <w:bCs/>
      </w:rPr>
    </w:tblStylePr>
    <w:tblStylePr w:type="band1Vert">
      <w:tblPr/>
      <w:tcPr>
        <w:tcBorders>
          <w:top w:val="single" w:sz="8" w:space="0" w:color="6D8D23" w:themeColor="accent1"/>
          <w:left w:val="single" w:sz="8" w:space="0" w:color="6D8D23" w:themeColor="accent1"/>
          <w:bottom w:val="single" w:sz="8" w:space="0" w:color="6D8D23" w:themeColor="accent1"/>
          <w:right w:val="single" w:sz="8" w:space="0" w:color="6D8D23" w:themeColor="accent1"/>
        </w:tcBorders>
      </w:tcPr>
    </w:tblStylePr>
    <w:tblStylePr w:type="band1Horz">
      <w:tblPr/>
      <w:tcPr>
        <w:tcBorders>
          <w:top w:val="single" w:sz="8" w:space="0" w:color="6D8D23" w:themeColor="accent1"/>
          <w:left w:val="single" w:sz="8" w:space="0" w:color="6D8D23" w:themeColor="accent1"/>
          <w:bottom w:val="single" w:sz="8" w:space="0" w:color="6D8D23" w:themeColor="accent1"/>
          <w:right w:val="single" w:sz="8" w:space="0" w:color="6D8D23" w:themeColor="accent1"/>
        </w:tcBorders>
      </w:tcPr>
    </w:tblStylePr>
  </w:style>
  <w:style w:type="table" w:styleId="MediumShading1-Accent1">
    <w:name w:val="Medium Shading 1 Accent 1"/>
    <w:basedOn w:val="TableNormal"/>
    <w:uiPriority w:val="63"/>
    <w:rsid w:val="00961584"/>
    <w:tblPr>
      <w:tblStyleRowBandSize w:val="1"/>
      <w:tblStyleColBandSize w:val="1"/>
      <w:tblBorders>
        <w:top w:val="single" w:sz="4" w:space="0" w:color="B2D75E" w:themeColor="accent1" w:themeTint="99"/>
        <w:left w:val="single" w:sz="4" w:space="0" w:color="B2D75E" w:themeColor="accent1" w:themeTint="99"/>
        <w:bottom w:val="single" w:sz="4" w:space="0" w:color="B2D75E" w:themeColor="accent1" w:themeTint="99"/>
        <w:right w:val="single" w:sz="4" w:space="0" w:color="B2D75E" w:themeColor="accent1" w:themeTint="99"/>
        <w:insideH w:val="single" w:sz="4" w:space="0" w:color="B2D75E" w:themeColor="accent1" w:themeTint="99"/>
        <w:insideV w:val="single" w:sz="4" w:space="0" w:color="B2D75E" w:themeColor="accent1" w:themeTint="99"/>
      </w:tblBorders>
    </w:tblPr>
    <w:tblStylePr w:type="firstRow">
      <w:pPr>
        <w:spacing w:before="0" w:after="0" w:line="240" w:lineRule="auto"/>
      </w:pPr>
      <w:rPr>
        <w:b/>
        <w:bCs/>
        <w:color w:val="FFFFFF" w:themeColor="background1"/>
      </w:rPr>
      <w:tblPr/>
      <w:tcPr>
        <w:tcBorders>
          <w:top w:val="single" w:sz="8" w:space="0" w:color="9FCD36" w:themeColor="accent1" w:themeTint="BF"/>
          <w:left w:val="single" w:sz="8" w:space="0" w:color="9FCD36" w:themeColor="accent1" w:themeTint="BF"/>
          <w:bottom w:val="single" w:sz="8" w:space="0" w:color="9FCD36" w:themeColor="accent1" w:themeTint="BF"/>
          <w:right w:val="single" w:sz="8" w:space="0" w:color="9FCD36" w:themeColor="accent1" w:themeTint="BF"/>
          <w:insideH w:val="nil"/>
          <w:insideV w:val="nil"/>
        </w:tcBorders>
        <w:shd w:val="clear" w:color="auto" w:fill="6D8D23" w:themeFill="accent1"/>
      </w:tcPr>
    </w:tblStylePr>
    <w:tblStylePr w:type="lastRow">
      <w:pPr>
        <w:spacing w:before="0" w:after="0" w:line="240" w:lineRule="auto"/>
      </w:pPr>
      <w:rPr>
        <w:b/>
        <w:bCs/>
      </w:rPr>
      <w:tblPr/>
      <w:tcPr>
        <w:tcBorders>
          <w:top w:val="double" w:sz="6" w:space="0" w:color="9FCD36" w:themeColor="accent1" w:themeTint="BF"/>
          <w:left w:val="single" w:sz="8" w:space="0" w:color="9FCD36" w:themeColor="accent1" w:themeTint="BF"/>
          <w:bottom w:val="single" w:sz="8" w:space="0" w:color="9FCD36" w:themeColor="accent1" w:themeTint="BF"/>
          <w:right w:val="single" w:sz="8" w:space="0" w:color="9FCD36"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EEBC" w:themeFill="accent1" w:themeFillTint="3F"/>
      </w:tcPr>
    </w:tblStylePr>
    <w:tblStylePr w:type="band1Horz">
      <w:tblPr/>
      <w:tcPr>
        <w:tcBorders>
          <w:insideH w:val="nil"/>
          <w:insideV w:val="nil"/>
        </w:tcBorders>
        <w:shd w:val="clear" w:color="auto" w:fill="DFEEBC" w:themeFill="accent1" w:themeFillTint="3F"/>
      </w:tcPr>
    </w:tblStylePr>
    <w:tblStylePr w:type="band2Horz">
      <w:tblPr/>
      <w:tcPr>
        <w:tcBorders>
          <w:insideH w:val="nil"/>
          <w:insideV w:val="nil"/>
        </w:tcBorders>
      </w:tcPr>
    </w:tblStylePr>
  </w:style>
  <w:style w:type="table" w:styleId="TableList6">
    <w:name w:val="Table List 6"/>
    <w:basedOn w:val="TableNormal"/>
    <w:rsid w:val="0096158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1">
    <w:name w:val="Table List 1"/>
    <w:basedOn w:val="TableNormal"/>
    <w:rsid w:val="0096158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rfulList-Accent3">
    <w:name w:val="Colorful List Accent 3"/>
    <w:basedOn w:val="TableNormal"/>
    <w:uiPriority w:val="72"/>
    <w:rsid w:val="00511D77"/>
    <w:rPr>
      <w:color w:val="004F5A" w:themeColor="text1"/>
    </w:rPr>
    <w:tblPr>
      <w:tblStyleRowBandSize w:val="1"/>
      <w:tblStyleColBandSize w:val="1"/>
    </w:tblPr>
    <w:tcPr>
      <w:shd w:val="clear" w:color="auto" w:fill="EEF5F8" w:themeFill="accent3" w:themeFillTint="19"/>
    </w:tcPr>
    <w:tblStylePr w:type="firstRow">
      <w:rPr>
        <w:b/>
        <w:bCs/>
        <w:color w:val="FFFFFF" w:themeColor="background1"/>
      </w:rPr>
      <w:tblPr/>
      <w:tcPr>
        <w:tcBorders>
          <w:bottom w:val="single" w:sz="12" w:space="0" w:color="FFFFFF" w:themeColor="background1"/>
        </w:tcBorders>
        <w:shd w:val="clear" w:color="auto" w:fill="91003F" w:themeFill="accent4" w:themeFillShade="CC"/>
      </w:tcPr>
    </w:tblStylePr>
    <w:tblStylePr w:type="lastRow">
      <w:rPr>
        <w:b/>
        <w:bCs/>
        <w:color w:val="91003F" w:themeColor="accent4" w:themeShade="CC"/>
      </w:rPr>
      <w:tblPr/>
      <w:tcPr>
        <w:tcBorders>
          <w:top w:val="single" w:sz="12" w:space="0" w:color="004F5A"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4E6EF" w:themeFill="accent3" w:themeFillTint="3F"/>
      </w:tcPr>
    </w:tblStylePr>
    <w:tblStylePr w:type="band1Horz">
      <w:tblPr/>
      <w:tcPr>
        <w:shd w:val="clear" w:color="auto" w:fill="DDEBF2" w:themeFill="accent3" w:themeFillTint="33"/>
      </w:tcPr>
    </w:tblStylePr>
  </w:style>
  <w:style w:type="table" w:customStyle="1" w:styleId="KTSCTableNativeViolet">
    <w:name w:val="K. TSC Table Native Violet"/>
    <w:basedOn w:val="ETSCTableCoolamonRouge"/>
    <w:uiPriority w:val="99"/>
    <w:rsid w:val="000D7EC6"/>
    <w:tblPr>
      <w:tblBorders>
        <w:top w:val="single" w:sz="4" w:space="0" w:color="7474C1" w:themeColor="accent6"/>
        <w:left w:val="single" w:sz="4" w:space="0" w:color="7474C1" w:themeColor="accent6"/>
        <w:bottom w:val="single" w:sz="4" w:space="0" w:color="7474C1" w:themeColor="accent6"/>
        <w:right w:val="single" w:sz="4" w:space="0" w:color="7474C1" w:themeColor="accent6"/>
        <w:insideH w:val="single" w:sz="4" w:space="0" w:color="7474C1" w:themeColor="accent6"/>
        <w:insideV w:val="single" w:sz="4" w:space="0" w:color="7474C1" w:themeColor="accent6"/>
      </w:tblBorders>
    </w:tblPr>
    <w:tcPr>
      <w:shd w:val="clear" w:color="auto" w:fill="auto"/>
    </w:tcPr>
    <w:tblStylePr w:type="firstRow">
      <w:rPr>
        <w:rFonts w:ascii="Arial" w:hAnsi="Arial"/>
        <w:b/>
        <w:color w:val="004F5A" w:themeColor="text1"/>
      </w:rPr>
      <w:tblPr/>
      <w:tcPr>
        <w:tcBorders>
          <w:top w:val="single" w:sz="4" w:space="0" w:color="7474C1" w:themeColor="accent6"/>
          <w:left w:val="single" w:sz="4" w:space="0" w:color="7474C1" w:themeColor="accent6"/>
          <w:bottom w:val="single" w:sz="4" w:space="0" w:color="7474C1" w:themeColor="accent6"/>
          <w:right w:val="single" w:sz="4" w:space="0" w:color="7474C1" w:themeColor="accent6"/>
          <w:insideH w:val="single" w:sz="4" w:space="0" w:color="7474C1" w:themeColor="accent6"/>
          <w:insideV w:val="single" w:sz="4" w:space="0" w:color="7474C1" w:themeColor="accent6"/>
        </w:tcBorders>
        <w:shd w:val="clear" w:color="auto" w:fill="7474C1" w:themeFill="accent6"/>
      </w:tcPr>
    </w:tblStylePr>
    <w:tblStylePr w:type="band1Horz">
      <w:tblPr/>
      <w:tcPr>
        <w:shd w:val="clear" w:color="auto" w:fill="E3E3F2" w:themeFill="accent6" w:themeFillTint="33"/>
      </w:tcPr>
    </w:tblStylePr>
    <w:tblStylePr w:type="band2Horz">
      <w:tblPr/>
      <w:tcPr>
        <w:shd w:val="clear" w:color="auto" w:fill="C7C7E6" w:themeFill="accent6" w:themeFillTint="66"/>
      </w:tcPr>
    </w:tblStylePr>
  </w:style>
  <w:style w:type="table" w:customStyle="1" w:styleId="LTSCTableCoastalBlue">
    <w:name w:val="L. TSC Table Coastal Blue"/>
    <w:basedOn w:val="ETSCTableCoolamonRouge"/>
    <w:uiPriority w:val="99"/>
    <w:rsid w:val="000D7EC6"/>
    <w:tblPr>
      <w:tblBorders>
        <w:top w:val="single" w:sz="4" w:space="0" w:color="00B2A9" w:themeColor="accent5"/>
        <w:left w:val="single" w:sz="4" w:space="0" w:color="00B2A9" w:themeColor="accent5"/>
        <w:bottom w:val="single" w:sz="4" w:space="0" w:color="00B2A9" w:themeColor="accent5"/>
        <w:right w:val="single" w:sz="4" w:space="0" w:color="00B2A9" w:themeColor="accent5"/>
        <w:insideH w:val="single" w:sz="4" w:space="0" w:color="00B2A9" w:themeColor="accent5"/>
        <w:insideV w:val="single" w:sz="4" w:space="0" w:color="00B2A9" w:themeColor="accent5"/>
      </w:tblBorders>
    </w:tblPr>
    <w:tcPr>
      <w:shd w:val="clear" w:color="auto" w:fill="auto"/>
    </w:tcPr>
    <w:tblStylePr w:type="firstRow">
      <w:rPr>
        <w:rFonts w:ascii="Arial" w:hAnsi="Arial"/>
        <w:b/>
        <w:color w:val="004F5A" w:themeColor="text1"/>
      </w:rPr>
      <w:tblPr/>
      <w:tcPr>
        <w:tcBorders>
          <w:top w:val="single" w:sz="4" w:space="0" w:color="00B2A9" w:themeColor="accent5"/>
          <w:left w:val="single" w:sz="4" w:space="0" w:color="00B2A9" w:themeColor="accent5"/>
          <w:bottom w:val="single" w:sz="4" w:space="0" w:color="00B2A9" w:themeColor="accent5"/>
          <w:right w:val="single" w:sz="4" w:space="0" w:color="00B2A9" w:themeColor="accent5"/>
          <w:insideH w:val="single" w:sz="4" w:space="0" w:color="00B2A9" w:themeColor="accent5"/>
          <w:insideV w:val="single" w:sz="4" w:space="0" w:color="00B2A9" w:themeColor="accent5"/>
        </w:tcBorders>
        <w:shd w:val="clear" w:color="auto" w:fill="00B2A9" w:themeFill="accent5"/>
      </w:tcPr>
    </w:tblStylePr>
    <w:tblStylePr w:type="band1Horz">
      <w:tblPr/>
      <w:tcPr>
        <w:shd w:val="clear" w:color="auto" w:fill="BCFFFB" w:themeFill="accent5" w:themeFillTint="33"/>
      </w:tcPr>
    </w:tblStylePr>
    <w:tblStylePr w:type="band2Horz">
      <w:tblPr/>
      <w:tcPr>
        <w:shd w:val="clear" w:color="auto" w:fill="7AFFF8" w:themeFill="accent5" w:themeFillTint="66"/>
      </w:tcPr>
    </w:tblStylePr>
  </w:style>
  <w:style w:type="table" w:customStyle="1" w:styleId="DTSCCorporateSand">
    <w:name w:val="D. TSC Corporate Sand"/>
    <w:basedOn w:val="BTSCCorporateGreen"/>
    <w:uiPriority w:val="99"/>
    <w:rsid w:val="000D7EC6"/>
    <w:tblPr>
      <w:tblBorders>
        <w:top w:val="single" w:sz="4" w:space="0" w:color="B3AA7E" w:themeColor="text2"/>
        <w:left w:val="single" w:sz="4" w:space="0" w:color="B3AA7E" w:themeColor="text2"/>
        <w:bottom w:val="single" w:sz="4" w:space="0" w:color="B3AA7E" w:themeColor="text2"/>
        <w:right w:val="single" w:sz="4" w:space="0" w:color="B3AA7E" w:themeColor="text2"/>
        <w:insideH w:val="single" w:sz="4" w:space="0" w:color="B3AA7E" w:themeColor="text2"/>
        <w:insideV w:val="single" w:sz="4" w:space="0" w:color="B3AA7E" w:themeColor="text2"/>
      </w:tblBorders>
    </w:tblPr>
    <w:tcPr>
      <w:shd w:val="clear" w:color="auto" w:fill="B3AA7E" w:themeFill="text2"/>
    </w:tcPr>
    <w:tblStylePr w:type="firstRow">
      <w:rPr>
        <w:rFonts w:ascii="Arial" w:hAnsi="Arial"/>
        <w:b/>
        <w:color w:val="004F5A" w:themeColor="text1"/>
      </w:rPr>
      <w:tblPr/>
      <w:tcPr>
        <w:shd w:val="clear" w:color="auto" w:fill="B3AA7E" w:themeFill="text2"/>
      </w:tcPr>
    </w:tblStylePr>
    <w:tblStylePr w:type="band1Horz">
      <w:tblPr/>
      <w:tcPr>
        <w:shd w:val="clear" w:color="auto" w:fill="EFEDE5" w:themeFill="text2" w:themeFillTint="33"/>
      </w:tcPr>
    </w:tblStylePr>
    <w:tblStylePr w:type="band2Horz">
      <w:tblPr/>
      <w:tcPr>
        <w:tcBorders>
          <w:top w:val="single" w:sz="4" w:space="0" w:color="B3AA7E" w:themeColor="text2"/>
          <w:left w:val="single" w:sz="4" w:space="0" w:color="B3AA7E" w:themeColor="text2"/>
          <w:bottom w:val="single" w:sz="4" w:space="0" w:color="B3AA7E" w:themeColor="text2"/>
          <w:right w:val="single" w:sz="4" w:space="0" w:color="B3AA7E" w:themeColor="text2"/>
          <w:insideH w:val="single" w:sz="4" w:space="0" w:color="B3AA7E" w:themeColor="text2"/>
          <w:insideV w:val="single" w:sz="4" w:space="0" w:color="B3AA7E" w:themeColor="text2"/>
        </w:tcBorders>
        <w:shd w:val="clear" w:color="auto" w:fill="E0DCCB" w:themeFill="text2" w:themeFillTint="66"/>
      </w:tcPr>
    </w:tblStylePr>
  </w:style>
  <w:style w:type="table" w:customStyle="1" w:styleId="AATSCStandardClean">
    <w:name w:val="AA. TSC Standard Clean"/>
    <w:basedOn w:val="ATSCStandardGrey"/>
    <w:uiPriority w:val="99"/>
    <w:rsid w:val="000D7EC6"/>
    <w:rPr>
      <w:rFonts w:ascii="Arial" w:hAnsi="Arial"/>
    </w:rPr>
    <w:tblPr/>
    <w:tcPr>
      <w:shd w:val="clear" w:color="auto" w:fill="auto"/>
    </w:tcPr>
    <w:tblStylePr w:type="firstRow">
      <w:rPr>
        <w:rFonts w:ascii="Arial" w:hAnsi="Arial"/>
        <w:b/>
      </w:rPr>
      <w:tblPr/>
      <w:tcPr>
        <w:shd w:val="clear" w:color="auto" w:fill="BFBFBF" w:themeFill="background1" w:themeFillShade="BF"/>
      </w:tcPr>
    </w:tblStylePr>
    <w:tblStylePr w:type="band1Horz">
      <w:tblPr/>
      <w:tcPr>
        <w:shd w:val="clear" w:color="auto" w:fill="FFFFFF" w:themeFill="background1"/>
      </w:tcPr>
    </w:tblStylePr>
    <w:tblStylePr w:type="band2Horz">
      <w:rPr>
        <w:rFonts w:asciiTheme="minorHAnsi" w:hAnsiTheme="minorHAnsi"/>
      </w:rPr>
      <w:tblPr/>
      <w:tcPr>
        <w:shd w:val="clear" w:color="auto" w:fill="F2F2F2" w:themeFill="background1" w:themeFillShade="F2"/>
      </w:tcPr>
    </w:tblStylePr>
  </w:style>
  <w:style w:type="character" w:customStyle="1" w:styleId="Heading2Char">
    <w:name w:val="Heading 2 Char"/>
    <w:basedOn w:val="DefaultParagraphFont"/>
    <w:link w:val="Heading2"/>
    <w:rsid w:val="00610495"/>
    <w:rPr>
      <w:rFonts w:ascii="Helvetica" w:hAnsi="Helvetica" w:cs="Arial"/>
      <w:b/>
      <w:bCs/>
      <w:iCs/>
      <w:color w:val="004F5A"/>
      <w:sz w:val="24"/>
      <w:szCs w:val="28"/>
      <w:lang w:eastAsia="en-US"/>
    </w:rPr>
  </w:style>
  <w:style w:type="paragraph" w:styleId="ListParagraph">
    <w:name w:val="List Paragraph"/>
    <w:basedOn w:val="Normal"/>
    <w:uiPriority w:val="34"/>
    <w:qFormat/>
    <w:rsid w:val="00610495"/>
    <w:pPr>
      <w:tabs>
        <w:tab w:val="left" w:pos="567"/>
      </w:tabs>
      <w:ind w:left="720"/>
      <w:contextualSpacing/>
      <w:jc w:val="both"/>
    </w:pPr>
    <w:rPr>
      <w:rFonts w:ascii="Arial" w:hAnsi="Arial" w:cs="Times New Roman"/>
      <w:szCs w:val="20"/>
    </w:rPr>
  </w:style>
  <w:style w:type="paragraph" w:styleId="BodyText">
    <w:name w:val="Body Text"/>
    <w:basedOn w:val="Normal"/>
    <w:link w:val="BodyTextChar"/>
    <w:uiPriority w:val="99"/>
    <w:unhideWhenUsed/>
    <w:rsid w:val="00610495"/>
    <w:pPr>
      <w:spacing w:after="220" w:line="180" w:lineRule="atLeast"/>
      <w:ind w:left="835"/>
      <w:jc w:val="both"/>
    </w:pPr>
    <w:rPr>
      <w:rFonts w:ascii="Arial" w:eastAsiaTheme="minorHAnsi" w:hAnsi="Arial"/>
      <w:spacing w:val="-5"/>
    </w:rPr>
  </w:style>
  <w:style w:type="character" w:customStyle="1" w:styleId="BodyTextChar">
    <w:name w:val="Body Text Char"/>
    <w:basedOn w:val="DefaultParagraphFont"/>
    <w:link w:val="BodyText"/>
    <w:uiPriority w:val="99"/>
    <w:rsid w:val="00610495"/>
    <w:rPr>
      <w:rFonts w:ascii="Arial" w:eastAsiaTheme="minorHAnsi" w:hAnsi="Arial" w:cs="Arial"/>
      <w:spacing w:val="-5"/>
      <w:sz w:val="24"/>
      <w:szCs w:val="24"/>
      <w:lang w:eastAsia="en-US"/>
    </w:rPr>
  </w:style>
  <w:style w:type="character" w:customStyle="1" w:styleId="frag-defterm">
    <w:name w:val="frag-defterm"/>
    <w:basedOn w:val="DefaultParagraphFont"/>
    <w:rsid w:val="00C52198"/>
  </w:style>
  <w:style w:type="paragraph" w:customStyle="1" w:styleId="Pa14">
    <w:name w:val="Pa14"/>
    <w:basedOn w:val="Normal"/>
    <w:uiPriority w:val="99"/>
    <w:rsid w:val="00CB1F28"/>
    <w:pPr>
      <w:autoSpaceDE w:val="0"/>
      <w:autoSpaceDN w:val="0"/>
      <w:spacing w:line="181" w:lineRule="atLeast"/>
    </w:pPr>
    <w:rPr>
      <w:rFonts w:ascii="HelveticaNeueLT Std Cn" w:eastAsiaTheme="minorHAnsi" w:hAnsi="HelveticaNeueLT Std Cn" w:cs="Times New Roman"/>
      <w:lang w:eastAsia="en-AU"/>
    </w:rPr>
  </w:style>
  <w:style w:type="character" w:customStyle="1" w:styleId="A7">
    <w:name w:val="A7"/>
    <w:basedOn w:val="DefaultParagraphFont"/>
    <w:uiPriority w:val="99"/>
    <w:rsid w:val="00CB1F28"/>
    <w:rPr>
      <w:rFonts w:ascii="HelveticaNeueLT Std Cn" w:hAnsi="HelveticaNeueLT Std Cn" w:hint="default"/>
      <w:color w:val="000000"/>
      <w:u w:val="single"/>
    </w:rPr>
  </w:style>
  <w:style w:type="paragraph" w:styleId="PlainText">
    <w:name w:val="Plain Text"/>
    <w:basedOn w:val="Normal"/>
    <w:link w:val="PlainTextChar"/>
    <w:uiPriority w:val="99"/>
    <w:unhideWhenUsed/>
    <w:rsid w:val="007F527E"/>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7F527E"/>
    <w:rPr>
      <w:rFonts w:ascii="Calibri" w:eastAsiaTheme="minorHAnsi" w:hAnsi="Calibri" w:cstheme="minorBidi"/>
      <w:sz w:val="22"/>
      <w:szCs w:val="21"/>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toc 1" w:uiPriority="39"/>
    <w:lsdException w:name="toc 2" w:uiPriority="39"/>
    <w:lsdException w:name="toc 3" w:uiPriority="39"/>
    <w:lsdException w:name="caption" w:qFormat="1"/>
    <w:lsdException w:name="Body Text" w:uiPriority="99"/>
    <w:lsdException w:name="Hyperlink" w:uiPriority="99"/>
    <w:lsdException w:name="Plain Text" w:uiPriority="99"/>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atentStyles>
  <w:style w:type="paragraph" w:default="1" w:styleId="Normal">
    <w:name w:val="Normal"/>
    <w:qFormat/>
    <w:rsid w:val="006D1343"/>
    <w:rPr>
      <w:rFonts w:ascii="Helvetica" w:hAnsi="Helvetica" w:cs="Arial"/>
      <w:sz w:val="24"/>
      <w:szCs w:val="24"/>
      <w:lang w:eastAsia="en-US"/>
    </w:rPr>
  </w:style>
  <w:style w:type="paragraph" w:styleId="Heading1">
    <w:name w:val="heading 1"/>
    <w:basedOn w:val="Normal"/>
    <w:next w:val="Normal"/>
    <w:autoRedefine/>
    <w:qFormat/>
    <w:rsid w:val="002B73AC"/>
    <w:pPr>
      <w:keepNext/>
      <w:tabs>
        <w:tab w:val="left" w:pos="1134"/>
      </w:tabs>
      <w:spacing w:before="360" w:after="180"/>
      <w:outlineLvl w:val="0"/>
    </w:pPr>
    <w:rPr>
      <w:b/>
      <w:bCs/>
      <w:color w:val="004F5A"/>
      <w:kern w:val="32"/>
      <w:sz w:val="28"/>
      <w:szCs w:val="28"/>
    </w:rPr>
  </w:style>
  <w:style w:type="paragraph" w:styleId="Heading2">
    <w:name w:val="heading 2"/>
    <w:basedOn w:val="Normal"/>
    <w:next w:val="Normal"/>
    <w:link w:val="Heading2Char"/>
    <w:qFormat/>
    <w:rsid w:val="00961584"/>
    <w:pPr>
      <w:keepNext/>
      <w:tabs>
        <w:tab w:val="left" w:pos="567"/>
        <w:tab w:val="left" w:pos="1134"/>
      </w:tabs>
      <w:spacing w:before="360" w:after="180"/>
      <w:outlineLvl w:val="1"/>
    </w:pPr>
    <w:rPr>
      <w:b/>
      <w:bCs/>
      <w:iCs/>
      <w:color w:val="004F5A"/>
      <w:szCs w:val="28"/>
    </w:rPr>
  </w:style>
  <w:style w:type="paragraph" w:styleId="Heading3">
    <w:name w:val="heading 3"/>
    <w:basedOn w:val="Normal"/>
    <w:next w:val="Normal"/>
    <w:qFormat/>
    <w:rsid w:val="00961584"/>
    <w:pPr>
      <w:keepNext/>
      <w:tabs>
        <w:tab w:val="left" w:pos="1134"/>
      </w:tabs>
      <w:spacing w:before="360" w:after="180"/>
      <w:outlineLvl w:val="2"/>
    </w:pPr>
    <w:rPr>
      <w:b/>
      <w:bCs/>
      <w:szCs w:val="26"/>
    </w:rPr>
  </w:style>
  <w:style w:type="paragraph" w:styleId="Heading4">
    <w:name w:val="heading 4"/>
    <w:basedOn w:val="Normal"/>
    <w:next w:val="Normal"/>
    <w:qFormat/>
    <w:rsid w:val="00961584"/>
    <w:pPr>
      <w:keepNext/>
      <w:tabs>
        <w:tab w:val="left" w:pos="567"/>
        <w:tab w:val="left" w:pos="1134"/>
      </w:tabs>
      <w:spacing w:before="360" w:after="180"/>
      <w:outlineLvl w:val="3"/>
    </w:pPr>
    <w:rPr>
      <w:rFonts w:cs="Times New Roman"/>
      <w:bCs/>
      <w:szCs w:val="28"/>
      <w:u w:val="single"/>
    </w:rPr>
  </w:style>
  <w:style w:type="paragraph" w:styleId="Heading5">
    <w:name w:val="heading 5"/>
    <w:basedOn w:val="Normal"/>
    <w:next w:val="Normal"/>
    <w:qFormat/>
    <w:rsid w:val="00961584"/>
    <w:pPr>
      <w:spacing w:before="240" w:after="60"/>
      <w:outlineLvl w:val="4"/>
    </w:pPr>
    <w:rPr>
      <w:b/>
      <w:bCs/>
      <w:i/>
      <w:iCs/>
      <w:sz w:val="26"/>
      <w:szCs w:val="26"/>
    </w:rPr>
  </w:style>
  <w:style w:type="paragraph" w:styleId="Heading6">
    <w:name w:val="heading 6"/>
    <w:basedOn w:val="Normal"/>
    <w:next w:val="Normal"/>
    <w:rsid w:val="003146BD"/>
    <w:pPr>
      <w:numPr>
        <w:ilvl w:val="5"/>
        <w:numId w:val="14"/>
      </w:numPr>
      <w:spacing w:before="240" w:after="60"/>
      <w:outlineLvl w:val="5"/>
    </w:pPr>
    <w:rPr>
      <w:rFonts w:ascii="Times New Roman" w:hAnsi="Times New Roman" w:cs="Times New Roman"/>
      <w:b/>
      <w:bCs/>
      <w:sz w:val="22"/>
      <w:szCs w:val="22"/>
    </w:rPr>
  </w:style>
  <w:style w:type="paragraph" w:styleId="Heading7">
    <w:name w:val="heading 7"/>
    <w:basedOn w:val="Normal"/>
    <w:next w:val="Normal"/>
    <w:rsid w:val="003146BD"/>
    <w:pPr>
      <w:numPr>
        <w:ilvl w:val="6"/>
        <w:numId w:val="14"/>
      </w:numPr>
      <w:spacing w:before="240" w:after="60"/>
      <w:outlineLvl w:val="6"/>
    </w:pPr>
    <w:rPr>
      <w:rFonts w:ascii="Times New Roman" w:hAnsi="Times New Roman" w:cs="Times New Roman"/>
    </w:rPr>
  </w:style>
  <w:style w:type="paragraph" w:styleId="Heading8">
    <w:name w:val="heading 8"/>
    <w:basedOn w:val="Normal"/>
    <w:next w:val="Normal"/>
    <w:rsid w:val="003146BD"/>
    <w:pPr>
      <w:numPr>
        <w:ilvl w:val="7"/>
        <w:numId w:val="14"/>
      </w:numPr>
      <w:spacing w:before="240" w:after="60"/>
      <w:outlineLvl w:val="7"/>
    </w:pPr>
    <w:rPr>
      <w:rFonts w:ascii="Times New Roman" w:hAnsi="Times New Roman" w:cs="Times New Roman"/>
      <w:i/>
      <w:iCs/>
    </w:rPr>
  </w:style>
  <w:style w:type="paragraph" w:styleId="Heading9">
    <w:name w:val="heading 9"/>
    <w:basedOn w:val="Normal"/>
    <w:next w:val="Normal"/>
    <w:rsid w:val="003146BD"/>
    <w:pPr>
      <w:numPr>
        <w:ilvl w:val="8"/>
        <w:numId w:val="14"/>
      </w:numPr>
      <w:spacing w:before="240" w:after="60"/>
      <w:outlineLvl w:val="8"/>
    </w:pPr>
    <w:rPr>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rsid w:val="00454EE8"/>
    <w:rPr>
      <w:rFonts w:ascii="Tahoma" w:hAnsi="Tahoma" w:cs="Tahoma"/>
      <w:sz w:val="16"/>
      <w:szCs w:val="16"/>
    </w:rPr>
  </w:style>
  <w:style w:type="character" w:customStyle="1" w:styleId="BalloonTextChar">
    <w:name w:val="Balloon Text Char"/>
    <w:basedOn w:val="DefaultParagraphFont"/>
    <w:link w:val="BalloonText"/>
    <w:rsid w:val="00454EE8"/>
    <w:rPr>
      <w:rFonts w:ascii="Tahoma" w:hAnsi="Tahoma" w:cs="Tahoma"/>
      <w:sz w:val="16"/>
      <w:szCs w:val="16"/>
      <w:lang w:eastAsia="en-US"/>
    </w:rPr>
  </w:style>
  <w:style w:type="character" w:styleId="Strong">
    <w:name w:val="Strong"/>
    <w:basedOn w:val="DefaultParagraphFont"/>
    <w:rsid w:val="00A10F50"/>
    <w:rPr>
      <w:b/>
      <w:bCs/>
    </w:rPr>
  </w:style>
  <w:style w:type="paragraph" w:styleId="Subtitle">
    <w:name w:val="Subtitle"/>
    <w:basedOn w:val="Normal"/>
    <w:next w:val="Normal"/>
    <w:link w:val="SubtitleChar"/>
    <w:rsid w:val="00A10F50"/>
    <w:pPr>
      <w:numPr>
        <w:ilvl w:val="1"/>
      </w:numPr>
    </w:pPr>
    <w:rPr>
      <w:rFonts w:asciiTheme="majorHAnsi" w:eastAsiaTheme="majorEastAsia" w:hAnsiTheme="majorHAnsi" w:cstheme="majorBidi"/>
      <w:i/>
      <w:iCs/>
      <w:color w:val="6D8D23" w:themeColor="accent1"/>
      <w:spacing w:val="15"/>
    </w:rPr>
  </w:style>
  <w:style w:type="character" w:customStyle="1" w:styleId="SubtitleChar">
    <w:name w:val="Subtitle Char"/>
    <w:basedOn w:val="DefaultParagraphFont"/>
    <w:link w:val="Subtitle"/>
    <w:rsid w:val="00A10F50"/>
    <w:rPr>
      <w:rFonts w:asciiTheme="majorHAnsi" w:eastAsiaTheme="majorEastAsia" w:hAnsiTheme="majorHAnsi" w:cstheme="majorBidi"/>
      <w:i/>
      <w:iCs/>
      <w:color w:val="6D8D23" w:themeColor="accent1"/>
      <w:spacing w:val="15"/>
      <w:sz w:val="24"/>
      <w:szCs w:val="24"/>
      <w:lang w:eastAsia="en-US"/>
    </w:rPr>
  </w:style>
  <w:style w:type="paragraph" w:styleId="NoSpacing">
    <w:name w:val="No Spacing"/>
    <w:uiPriority w:val="1"/>
    <w:rsid w:val="00A10F50"/>
    <w:rPr>
      <w:rFonts w:ascii="Arial" w:hAnsi="Arial" w:cs="Arial"/>
      <w:sz w:val="24"/>
      <w:szCs w:val="24"/>
      <w:lang w:eastAsia="en-US"/>
    </w:rPr>
  </w:style>
  <w:style w:type="paragraph" w:styleId="Caption">
    <w:name w:val="caption"/>
    <w:aliases w:val="Photo Caption"/>
    <w:basedOn w:val="Normal"/>
    <w:next w:val="Normal"/>
    <w:qFormat/>
    <w:rsid w:val="002B73AC"/>
    <w:pPr>
      <w:spacing w:after="200"/>
    </w:pPr>
    <w:rPr>
      <w:rFonts w:asciiTheme="majorHAnsi" w:hAnsiTheme="majorHAnsi"/>
      <w:bCs/>
      <w:color w:val="808080" w:themeColor="background1" w:themeShade="80"/>
      <w:sz w:val="20"/>
      <w:szCs w:val="18"/>
    </w:rPr>
  </w:style>
  <w:style w:type="table" w:styleId="TableGrid">
    <w:name w:val="Table Grid"/>
    <w:basedOn w:val="TableNormal"/>
    <w:rsid w:val="00873B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TSCCorporateGreen">
    <w:name w:val="B. TSC Corporate Green"/>
    <w:basedOn w:val="TableNormal"/>
    <w:uiPriority w:val="99"/>
    <w:rsid w:val="000D7EC6"/>
    <w:rPr>
      <w:rFonts w:ascii="Arial" w:hAnsi="Arial"/>
    </w:rPr>
    <w:tblPr>
      <w:tblStyleRowBandSize w:val="1"/>
      <w:tblBorders>
        <w:top w:val="single" w:sz="4" w:space="0" w:color="566C11" w:themeColor="background2"/>
        <w:left w:val="single" w:sz="4" w:space="0" w:color="566C11" w:themeColor="background2"/>
        <w:bottom w:val="single" w:sz="4" w:space="0" w:color="566C11" w:themeColor="background2"/>
        <w:right w:val="single" w:sz="4" w:space="0" w:color="566C11" w:themeColor="background2"/>
        <w:insideH w:val="single" w:sz="4" w:space="0" w:color="566C11" w:themeColor="background2"/>
        <w:insideV w:val="single" w:sz="4" w:space="0" w:color="566C11" w:themeColor="background2"/>
      </w:tblBorders>
    </w:tblPr>
    <w:tcPr>
      <w:shd w:val="clear" w:color="auto" w:fill="auto"/>
    </w:tcPr>
    <w:tblStylePr w:type="firstRow">
      <w:rPr>
        <w:rFonts w:ascii="Arial" w:hAnsi="Arial"/>
        <w:b/>
        <w:color w:val="FFFFFF" w:themeColor="background1"/>
      </w:rPr>
      <w:tblPr/>
      <w:tcPr>
        <w:shd w:val="clear" w:color="auto" w:fill="566C11" w:themeFill="background2"/>
      </w:tcPr>
    </w:tblStylePr>
    <w:tblStylePr w:type="band1Horz">
      <w:tblPr/>
      <w:tcPr>
        <w:shd w:val="clear" w:color="auto" w:fill="E6F4BC" w:themeFill="background2" w:themeFillTint="33"/>
      </w:tcPr>
    </w:tblStylePr>
    <w:tblStylePr w:type="band2Horz">
      <w:tblPr/>
      <w:tcPr>
        <w:tcBorders>
          <w:top w:val="single" w:sz="4" w:space="0" w:color="566C11" w:themeColor="background2"/>
          <w:left w:val="single" w:sz="4" w:space="0" w:color="566C11" w:themeColor="background2"/>
          <w:bottom w:val="single" w:sz="4" w:space="0" w:color="566C11" w:themeColor="background2"/>
          <w:right w:val="single" w:sz="4" w:space="0" w:color="566C11" w:themeColor="background2"/>
          <w:insideH w:val="single" w:sz="4" w:space="0" w:color="566C11" w:themeColor="background2"/>
          <w:insideV w:val="single" w:sz="4" w:space="0" w:color="566C11" w:themeColor="background2"/>
        </w:tcBorders>
        <w:shd w:val="clear" w:color="auto" w:fill="CEEA79" w:themeFill="background2" w:themeFillTint="66"/>
      </w:tcPr>
    </w:tblStylePr>
  </w:style>
  <w:style w:type="table" w:customStyle="1" w:styleId="ATSCStandardGrey">
    <w:name w:val="A. TSC Standard Grey"/>
    <w:basedOn w:val="TableNormal"/>
    <w:uiPriority w:val="99"/>
    <w:rsid w:val="000D7EC6"/>
    <w:tblPr>
      <w:tblStyleRowBandSize w:val="1"/>
      <w:tbl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insideH w:val="single" w:sz="4" w:space="0" w:color="808080" w:themeColor="background1" w:themeShade="80"/>
        <w:insideV w:val="single" w:sz="4" w:space="0" w:color="808080" w:themeColor="background1" w:themeShade="80"/>
      </w:tblBorders>
    </w:tblPr>
    <w:tcPr>
      <w:shd w:val="clear" w:color="auto" w:fill="auto"/>
    </w:tcPr>
    <w:tblStylePr w:type="firstRow">
      <w:rPr>
        <w:rFonts w:ascii="Arial" w:hAnsi="Arial"/>
        <w:b/>
      </w:rPr>
    </w:tblStylePr>
  </w:style>
  <w:style w:type="table" w:styleId="Table3Deffects3">
    <w:name w:val="Table 3D effects 3"/>
    <w:basedOn w:val="TableNormal"/>
    <w:rsid w:val="004F1010"/>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2">
    <w:name w:val="Table 3D effects 2"/>
    <w:basedOn w:val="TableNormal"/>
    <w:rsid w:val="004F1010"/>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1">
    <w:name w:val="Table 3D effects 1"/>
    <w:basedOn w:val="TableNormal"/>
    <w:rsid w:val="004F1010"/>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MediumGrid1-Accent1">
    <w:name w:val="Medium Grid 1 Accent 1"/>
    <w:basedOn w:val="TableNormal"/>
    <w:uiPriority w:val="67"/>
    <w:rsid w:val="004F1010"/>
    <w:tblPr>
      <w:tblStyleRowBandSize w:val="1"/>
      <w:tblStyleColBandSize w:val="1"/>
      <w:tblBorders>
        <w:top w:val="single" w:sz="8" w:space="0" w:color="9FCD36" w:themeColor="accent1" w:themeTint="BF"/>
        <w:left w:val="single" w:sz="8" w:space="0" w:color="9FCD36" w:themeColor="accent1" w:themeTint="BF"/>
        <w:bottom w:val="single" w:sz="8" w:space="0" w:color="9FCD36" w:themeColor="accent1" w:themeTint="BF"/>
        <w:right w:val="single" w:sz="8" w:space="0" w:color="9FCD36" w:themeColor="accent1" w:themeTint="BF"/>
        <w:insideH w:val="single" w:sz="8" w:space="0" w:color="9FCD36" w:themeColor="accent1" w:themeTint="BF"/>
        <w:insideV w:val="single" w:sz="8" w:space="0" w:color="9FCD36" w:themeColor="accent1" w:themeTint="BF"/>
      </w:tblBorders>
    </w:tblPr>
    <w:tcPr>
      <w:shd w:val="clear" w:color="auto" w:fill="DFEEBC" w:themeFill="accent1" w:themeFillTint="3F"/>
    </w:tcPr>
    <w:tblStylePr w:type="firstRow">
      <w:rPr>
        <w:b/>
        <w:bCs/>
      </w:rPr>
    </w:tblStylePr>
    <w:tblStylePr w:type="lastRow">
      <w:rPr>
        <w:b/>
        <w:bCs/>
      </w:rPr>
      <w:tblPr/>
      <w:tcPr>
        <w:tcBorders>
          <w:top w:val="single" w:sz="18" w:space="0" w:color="9FCD36" w:themeColor="accent1" w:themeTint="BF"/>
        </w:tcBorders>
      </w:tcPr>
    </w:tblStylePr>
    <w:tblStylePr w:type="firstCol">
      <w:rPr>
        <w:b/>
        <w:bCs/>
      </w:rPr>
    </w:tblStylePr>
    <w:tblStylePr w:type="lastCol">
      <w:rPr>
        <w:b/>
        <w:bCs/>
      </w:rPr>
    </w:tblStylePr>
    <w:tblStylePr w:type="band1Vert">
      <w:tblPr/>
      <w:tcPr>
        <w:shd w:val="clear" w:color="auto" w:fill="BFDD79" w:themeFill="accent1" w:themeFillTint="7F"/>
      </w:tcPr>
    </w:tblStylePr>
    <w:tblStylePr w:type="band1Horz">
      <w:tblPr/>
      <w:tcPr>
        <w:shd w:val="clear" w:color="auto" w:fill="BFDD79" w:themeFill="accent1" w:themeFillTint="7F"/>
      </w:tcPr>
    </w:tblStylePr>
  </w:style>
  <w:style w:type="table" w:styleId="MediumShading2-Accent2">
    <w:name w:val="Medium Shading 2 Accent 2"/>
    <w:basedOn w:val="TableNormal"/>
    <w:uiPriority w:val="64"/>
    <w:rsid w:val="00F5014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5960B"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5960B" w:themeFill="accent2"/>
      </w:tcPr>
    </w:tblStylePr>
    <w:tblStylePr w:type="lastCol">
      <w:rPr>
        <w:b/>
        <w:bCs/>
        <w:color w:val="FFFFFF" w:themeColor="background1"/>
      </w:rPr>
      <w:tblPr/>
      <w:tcPr>
        <w:tcBorders>
          <w:left w:val="nil"/>
          <w:right w:val="nil"/>
          <w:insideH w:val="nil"/>
          <w:insideV w:val="nil"/>
        </w:tcBorders>
        <w:shd w:val="clear" w:color="auto" w:fill="C5960B"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F5014D"/>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B60050"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B60050" w:themeFill="accent4"/>
      </w:tcPr>
    </w:tblStylePr>
    <w:tblStylePr w:type="lastCol">
      <w:rPr>
        <w:b/>
        <w:bCs/>
        <w:color w:val="FFFFFF" w:themeColor="background1"/>
      </w:rPr>
      <w:tblPr/>
      <w:tcPr>
        <w:tcBorders>
          <w:left w:val="nil"/>
          <w:right w:val="nil"/>
          <w:insideH w:val="nil"/>
          <w:insideV w:val="nil"/>
        </w:tcBorders>
        <w:shd w:val="clear" w:color="auto" w:fill="B60050"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List-Accent6">
    <w:name w:val="Light List Accent 6"/>
    <w:basedOn w:val="TableNormal"/>
    <w:uiPriority w:val="61"/>
    <w:rsid w:val="00F5014D"/>
    <w:tblPr>
      <w:tblStyleRowBandSize w:val="1"/>
      <w:tblStyleColBandSize w:val="1"/>
      <w:tblBorders>
        <w:top w:val="single" w:sz="8" w:space="0" w:color="7474C1" w:themeColor="accent6"/>
        <w:left w:val="single" w:sz="8" w:space="0" w:color="7474C1" w:themeColor="accent6"/>
        <w:bottom w:val="single" w:sz="8" w:space="0" w:color="7474C1" w:themeColor="accent6"/>
        <w:right w:val="single" w:sz="8" w:space="0" w:color="7474C1" w:themeColor="accent6"/>
      </w:tblBorders>
    </w:tblPr>
    <w:tblStylePr w:type="firstRow">
      <w:pPr>
        <w:spacing w:before="0" w:after="0" w:line="240" w:lineRule="auto"/>
      </w:pPr>
      <w:rPr>
        <w:b/>
        <w:bCs/>
        <w:color w:val="FFFFFF" w:themeColor="background1"/>
      </w:rPr>
      <w:tblPr/>
      <w:tcPr>
        <w:shd w:val="clear" w:color="auto" w:fill="7474C1" w:themeFill="accent6"/>
      </w:tcPr>
    </w:tblStylePr>
    <w:tblStylePr w:type="lastRow">
      <w:pPr>
        <w:spacing w:before="0" w:after="0" w:line="240" w:lineRule="auto"/>
      </w:pPr>
      <w:rPr>
        <w:b/>
        <w:bCs/>
      </w:rPr>
      <w:tblPr/>
      <w:tcPr>
        <w:tcBorders>
          <w:top w:val="double" w:sz="6" w:space="0" w:color="7474C1" w:themeColor="accent6"/>
          <w:left w:val="single" w:sz="8" w:space="0" w:color="7474C1" w:themeColor="accent6"/>
          <w:bottom w:val="single" w:sz="8" w:space="0" w:color="7474C1" w:themeColor="accent6"/>
          <w:right w:val="single" w:sz="8" w:space="0" w:color="7474C1" w:themeColor="accent6"/>
        </w:tcBorders>
      </w:tcPr>
    </w:tblStylePr>
    <w:tblStylePr w:type="firstCol">
      <w:rPr>
        <w:b/>
        <w:bCs/>
      </w:rPr>
    </w:tblStylePr>
    <w:tblStylePr w:type="lastCol">
      <w:rPr>
        <w:b/>
        <w:bCs/>
      </w:rPr>
    </w:tblStylePr>
    <w:tblStylePr w:type="band1Vert">
      <w:tblPr/>
      <w:tcPr>
        <w:tcBorders>
          <w:top w:val="single" w:sz="8" w:space="0" w:color="7474C1" w:themeColor="accent6"/>
          <w:left w:val="single" w:sz="8" w:space="0" w:color="7474C1" w:themeColor="accent6"/>
          <w:bottom w:val="single" w:sz="8" w:space="0" w:color="7474C1" w:themeColor="accent6"/>
          <w:right w:val="single" w:sz="8" w:space="0" w:color="7474C1" w:themeColor="accent6"/>
        </w:tcBorders>
      </w:tcPr>
    </w:tblStylePr>
    <w:tblStylePr w:type="band1Horz">
      <w:tblPr/>
      <w:tcPr>
        <w:tcBorders>
          <w:top w:val="single" w:sz="8" w:space="0" w:color="7474C1" w:themeColor="accent6"/>
          <w:left w:val="single" w:sz="8" w:space="0" w:color="7474C1" w:themeColor="accent6"/>
          <w:bottom w:val="single" w:sz="8" w:space="0" w:color="7474C1" w:themeColor="accent6"/>
          <w:right w:val="single" w:sz="8" w:space="0" w:color="7474C1" w:themeColor="accent6"/>
        </w:tcBorders>
      </w:tcPr>
    </w:tblStylePr>
  </w:style>
  <w:style w:type="table" w:styleId="LightList-Accent5">
    <w:name w:val="Light List Accent 5"/>
    <w:basedOn w:val="TableNormal"/>
    <w:uiPriority w:val="61"/>
    <w:rsid w:val="00F5014D"/>
    <w:tblPr>
      <w:tblStyleRowBandSize w:val="1"/>
      <w:tblStyleColBandSize w:val="1"/>
      <w:tblBorders>
        <w:top w:val="single" w:sz="8" w:space="0" w:color="00B2A9" w:themeColor="accent5"/>
        <w:left w:val="single" w:sz="8" w:space="0" w:color="00B2A9" w:themeColor="accent5"/>
        <w:bottom w:val="single" w:sz="8" w:space="0" w:color="00B2A9" w:themeColor="accent5"/>
        <w:right w:val="single" w:sz="8" w:space="0" w:color="00B2A9" w:themeColor="accent5"/>
      </w:tblBorders>
    </w:tblPr>
    <w:tblStylePr w:type="firstRow">
      <w:pPr>
        <w:spacing w:before="0" w:after="0" w:line="240" w:lineRule="auto"/>
      </w:pPr>
      <w:rPr>
        <w:b/>
        <w:bCs/>
        <w:color w:val="FFFFFF" w:themeColor="background1"/>
      </w:rPr>
      <w:tblPr/>
      <w:tcPr>
        <w:shd w:val="clear" w:color="auto" w:fill="00B2A9" w:themeFill="accent5"/>
      </w:tcPr>
    </w:tblStylePr>
    <w:tblStylePr w:type="lastRow">
      <w:pPr>
        <w:spacing w:before="0" w:after="0" w:line="240" w:lineRule="auto"/>
      </w:pPr>
      <w:rPr>
        <w:b/>
        <w:bCs/>
      </w:rPr>
      <w:tblPr/>
      <w:tcPr>
        <w:tcBorders>
          <w:top w:val="double" w:sz="6" w:space="0" w:color="00B2A9" w:themeColor="accent5"/>
          <w:left w:val="single" w:sz="8" w:space="0" w:color="00B2A9" w:themeColor="accent5"/>
          <w:bottom w:val="single" w:sz="8" w:space="0" w:color="00B2A9" w:themeColor="accent5"/>
          <w:right w:val="single" w:sz="8" w:space="0" w:color="00B2A9" w:themeColor="accent5"/>
        </w:tcBorders>
      </w:tcPr>
    </w:tblStylePr>
    <w:tblStylePr w:type="firstCol">
      <w:rPr>
        <w:b/>
        <w:bCs/>
      </w:rPr>
    </w:tblStylePr>
    <w:tblStylePr w:type="lastCol">
      <w:rPr>
        <w:b/>
        <w:bCs/>
      </w:rPr>
    </w:tblStylePr>
    <w:tblStylePr w:type="band1Vert">
      <w:tblPr/>
      <w:tcPr>
        <w:tcBorders>
          <w:top w:val="single" w:sz="8" w:space="0" w:color="00B2A9" w:themeColor="accent5"/>
          <w:left w:val="single" w:sz="8" w:space="0" w:color="00B2A9" w:themeColor="accent5"/>
          <w:bottom w:val="single" w:sz="8" w:space="0" w:color="00B2A9" w:themeColor="accent5"/>
          <w:right w:val="single" w:sz="8" w:space="0" w:color="00B2A9" w:themeColor="accent5"/>
        </w:tcBorders>
      </w:tcPr>
    </w:tblStylePr>
    <w:tblStylePr w:type="band1Horz">
      <w:tblPr/>
      <w:tcPr>
        <w:tcBorders>
          <w:top w:val="single" w:sz="8" w:space="0" w:color="00B2A9" w:themeColor="accent5"/>
          <w:left w:val="single" w:sz="8" w:space="0" w:color="00B2A9" w:themeColor="accent5"/>
          <w:bottom w:val="single" w:sz="8" w:space="0" w:color="00B2A9" w:themeColor="accent5"/>
          <w:right w:val="single" w:sz="8" w:space="0" w:color="00B2A9" w:themeColor="accent5"/>
        </w:tcBorders>
      </w:tcPr>
    </w:tblStylePr>
  </w:style>
  <w:style w:type="table" w:styleId="ColorfulList-Accent1">
    <w:name w:val="Colorful List Accent 1"/>
    <w:basedOn w:val="TableNormal"/>
    <w:uiPriority w:val="72"/>
    <w:rsid w:val="00F5014D"/>
    <w:rPr>
      <w:color w:val="004F5A" w:themeColor="text1"/>
    </w:rPr>
    <w:tblPr>
      <w:tblStyleRowBandSize w:val="1"/>
      <w:tblStyleColBandSize w:val="1"/>
    </w:tblPr>
    <w:tcPr>
      <w:shd w:val="clear" w:color="auto" w:fill="F2F8E4" w:themeFill="accent1" w:themeFillTint="19"/>
    </w:tcPr>
    <w:tblStylePr w:type="firstRow">
      <w:rPr>
        <w:b/>
        <w:bCs/>
        <w:color w:val="FFFFFF" w:themeColor="background1"/>
      </w:rPr>
      <w:tblPr/>
      <w:tcPr>
        <w:tcBorders>
          <w:bottom w:val="single" w:sz="12" w:space="0" w:color="FFFFFF" w:themeColor="background1"/>
        </w:tcBorders>
        <w:shd w:val="clear" w:color="auto" w:fill="9D7708" w:themeFill="accent2" w:themeFillShade="CC"/>
      </w:tcPr>
    </w:tblStylePr>
    <w:tblStylePr w:type="lastRow">
      <w:rPr>
        <w:b/>
        <w:bCs/>
        <w:color w:val="9D7708" w:themeColor="accent2" w:themeShade="CC"/>
      </w:rPr>
      <w:tblPr/>
      <w:tcPr>
        <w:tcBorders>
          <w:top w:val="single" w:sz="12" w:space="0" w:color="004F5A"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EEBC" w:themeFill="accent1" w:themeFillTint="3F"/>
      </w:tcPr>
    </w:tblStylePr>
    <w:tblStylePr w:type="band1Horz">
      <w:tblPr/>
      <w:tcPr>
        <w:shd w:val="clear" w:color="auto" w:fill="E5F1C9" w:themeFill="accent1" w:themeFillTint="33"/>
      </w:tcPr>
    </w:tblStylePr>
  </w:style>
  <w:style w:type="table" w:styleId="ColorfulGrid-Accent1">
    <w:name w:val="Colorful Grid Accent 1"/>
    <w:basedOn w:val="TableNormal"/>
    <w:uiPriority w:val="73"/>
    <w:rsid w:val="00F5014D"/>
    <w:rPr>
      <w:color w:val="004F5A" w:themeColor="text1"/>
    </w:rPr>
    <w:tblPr>
      <w:tblStyleRowBandSize w:val="1"/>
      <w:tblStyleColBandSize w:val="1"/>
      <w:tblBorders>
        <w:insideH w:val="single" w:sz="4" w:space="0" w:color="FFFFFF" w:themeColor="background1"/>
      </w:tblBorders>
    </w:tblPr>
    <w:tcPr>
      <w:shd w:val="clear" w:color="auto" w:fill="E5F1C9" w:themeFill="accent1" w:themeFillTint="33"/>
    </w:tcPr>
    <w:tblStylePr w:type="firstRow">
      <w:rPr>
        <w:b/>
        <w:bCs/>
      </w:rPr>
      <w:tblPr/>
      <w:tcPr>
        <w:shd w:val="clear" w:color="auto" w:fill="CCE493" w:themeFill="accent1" w:themeFillTint="66"/>
      </w:tcPr>
    </w:tblStylePr>
    <w:tblStylePr w:type="lastRow">
      <w:rPr>
        <w:b/>
        <w:bCs/>
        <w:color w:val="004F5A" w:themeColor="text1"/>
      </w:rPr>
      <w:tblPr/>
      <w:tcPr>
        <w:shd w:val="clear" w:color="auto" w:fill="CCE493" w:themeFill="accent1" w:themeFillTint="66"/>
      </w:tcPr>
    </w:tblStylePr>
    <w:tblStylePr w:type="firstCol">
      <w:rPr>
        <w:color w:val="FFFFFF" w:themeColor="background1"/>
      </w:rPr>
      <w:tblPr/>
      <w:tcPr>
        <w:shd w:val="clear" w:color="auto" w:fill="51691A" w:themeFill="accent1" w:themeFillShade="BF"/>
      </w:tcPr>
    </w:tblStylePr>
    <w:tblStylePr w:type="lastCol">
      <w:rPr>
        <w:color w:val="FFFFFF" w:themeColor="background1"/>
      </w:rPr>
      <w:tblPr/>
      <w:tcPr>
        <w:shd w:val="clear" w:color="auto" w:fill="51691A" w:themeFill="accent1" w:themeFillShade="BF"/>
      </w:tcPr>
    </w:tblStylePr>
    <w:tblStylePr w:type="band1Vert">
      <w:tblPr/>
      <w:tcPr>
        <w:shd w:val="clear" w:color="auto" w:fill="BFDD79" w:themeFill="accent1" w:themeFillTint="7F"/>
      </w:tcPr>
    </w:tblStylePr>
    <w:tblStylePr w:type="band1Horz">
      <w:tblPr/>
      <w:tcPr>
        <w:shd w:val="clear" w:color="auto" w:fill="BFDD79" w:themeFill="accent1" w:themeFillTint="7F"/>
      </w:tcPr>
    </w:tblStylePr>
  </w:style>
  <w:style w:type="table" w:styleId="ColorfulGrid-Accent2">
    <w:name w:val="Colorful Grid Accent 2"/>
    <w:basedOn w:val="TableNormal"/>
    <w:uiPriority w:val="73"/>
    <w:rsid w:val="00F5014D"/>
    <w:rPr>
      <w:color w:val="004F5A" w:themeColor="text1"/>
    </w:rPr>
    <w:tblPr>
      <w:tblStyleRowBandSize w:val="1"/>
      <w:tblStyleColBandSize w:val="1"/>
      <w:tblBorders>
        <w:insideH w:val="single" w:sz="4" w:space="0" w:color="FFFFFF" w:themeColor="background1"/>
      </w:tblBorders>
    </w:tblPr>
    <w:tcPr>
      <w:shd w:val="clear" w:color="auto" w:fill="FBEDC5" w:themeFill="accent2" w:themeFillTint="33"/>
    </w:tcPr>
    <w:tblStylePr w:type="firstRow">
      <w:rPr>
        <w:b/>
        <w:bCs/>
      </w:rPr>
      <w:tblPr/>
      <w:tcPr>
        <w:shd w:val="clear" w:color="auto" w:fill="F8DD8C" w:themeFill="accent2" w:themeFillTint="66"/>
      </w:tcPr>
    </w:tblStylePr>
    <w:tblStylePr w:type="lastRow">
      <w:rPr>
        <w:b/>
        <w:bCs/>
        <w:color w:val="004F5A" w:themeColor="text1"/>
      </w:rPr>
      <w:tblPr/>
      <w:tcPr>
        <w:shd w:val="clear" w:color="auto" w:fill="F8DD8C" w:themeFill="accent2" w:themeFillTint="66"/>
      </w:tcPr>
    </w:tblStylePr>
    <w:tblStylePr w:type="firstCol">
      <w:rPr>
        <w:color w:val="FFFFFF" w:themeColor="background1"/>
      </w:rPr>
      <w:tblPr/>
      <w:tcPr>
        <w:shd w:val="clear" w:color="auto" w:fill="936F08" w:themeFill="accent2" w:themeFillShade="BF"/>
      </w:tcPr>
    </w:tblStylePr>
    <w:tblStylePr w:type="lastCol">
      <w:rPr>
        <w:color w:val="FFFFFF" w:themeColor="background1"/>
      </w:rPr>
      <w:tblPr/>
      <w:tcPr>
        <w:shd w:val="clear" w:color="auto" w:fill="936F08" w:themeFill="accent2" w:themeFillShade="BF"/>
      </w:tcPr>
    </w:tblStylePr>
    <w:tblStylePr w:type="band1Vert">
      <w:tblPr/>
      <w:tcPr>
        <w:shd w:val="clear" w:color="auto" w:fill="F7D470" w:themeFill="accent2" w:themeFillTint="7F"/>
      </w:tcPr>
    </w:tblStylePr>
    <w:tblStylePr w:type="band1Horz">
      <w:tblPr/>
      <w:tcPr>
        <w:shd w:val="clear" w:color="auto" w:fill="F7D470" w:themeFill="accent2" w:themeFillTint="7F"/>
      </w:tcPr>
    </w:tblStylePr>
  </w:style>
  <w:style w:type="table" w:styleId="ColorfulGrid-Accent3">
    <w:name w:val="Colorful Grid Accent 3"/>
    <w:basedOn w:val="TableNormal"/>
    <w:uiPriority w:val="73"/>
    <w:rsid w:val="00F5014D"/>
    <w:rPr>
      <w:color w:val="004F5A" w:themeColor="text1"/>
    </w:rPr>
    <w:tblPr>
      <w:tblStyleRowBandSize w:val="1"/>
      <w:tblStyleColBandSize w:val="1"/>
      <w:tblBorders>
        <w:insideH w:val="single" w:sz="4" w:space="0" w:color="FFFFFF" w:themeColor="background1"/>
      </w:tblBorders>
    </w:tblPr>
    <w:tcPr>
      <w:shd w:val="clear" w:color="auto" w:fill="DDEBF2" w:themeFill="accent3" w:themeFillTint="33"/>
    </w:tcPr>
    <w:tblStylePr w:type="firstRow">
      <w:rPr>
        <w:b/>
        <w:bCs/>
      </w:rPr>
      <w:tblPr/>
      <w:tcPr>
        <w:shd w:val="clear" w:color="auto" w:fill="BBD7E5" w:themeFill="accent3" w:themeFillTint="66"/>
      </w:tcPr>
    </w:tblStylePr>
    <w:tblStylePr w:type="lastRow">
      <w:rPr>
        <w:b/>
        <w:bCs/>
        <w:color w:val="004F5A" w:themeColor="text1"/>
      </w:rPr>
      <w:tblPr/>
      <w:tcPr>
        <w:shd w:val="clear" w:color="auto" w:fill="BBD7E5" w:themeFill="accent3" w:themeFillTint="66"/>
      </w:tcPr>
    </w:tblStylePr>
    <w:tblStylePr w:type="firstCol">
      <w:rPr>
        <w:color w:val="FFFFFF" w:themeColor="background1"/>
      </w:rPr>
      <w:tblPr/>
      <w:tcPr>
        <w:shd w:val="clear" w:color="auto" w:fill="397694" w:themeFill="accent3" w:themeFillShade="BF"/>
      </w:tcPr>
    </w:tblStylePr>
    <w:tblStylePr w:type="lastCol">
      <w:rPr>
        <w:color w:val="FFFFFF" w:themeColor="background1"/>
      </w:rPr>
      <w:tblPr/>
      <w:tcPr>
        <w:shd w:val="clear" w:color="auto" w:fill="397694" w:themeFill="accent3" w:themeFillShade="BF"/>
      </w:tcPr>
    </w:tblStylePr>
    <w:tblStylePr w:type="band1Vert">
      <w:tblPr/>
      <w:tcPr>
        <w:shd w:val="clear" w:color="auto" w:fill="AACDDE" w:themeFill="accent3" w:themeFillTint="7F"/>
      </w:tcPr>
    </w:tblStylePr>
    <w:tblStylePr w:type="band1Horz">
      <w:tblPr/>
      <w:tcPr>
        <w:shd w:val="clear" w:color="auto" w:fill="AACDDE" w:themeFill="accent3" w:themeFillTint="7F"/>
      </w:tcPr>
    </w:tblStylePr>
  </w:style>
  <w:style w:type="table" w:customStyle="1" w:styleId="GTSCTableSkyBlue">
    <w:name w:val="G. TSC Table Sky Blue"/>
    <w:basedOn w:val="TableNormal"/>
    <w:uiPriority w:val="99"/>
    <w:qFormat/>
    <w:rsid w:val="0095260D"/>
    <w:rPr>
      <w:rFonts w:ascii="Arial" w:hAnsi="Arial"/>
    </w:rPr>
    <w:tblPr>
      <w:tblStyleRowBandSize w:val="1"/>
      <w:tblBorders>
        <w:top w:val="single" w:sz="4" w:space="0" w:color="559CBE"/>
        <w:left w:val="single" w:sz="4" w:space="0" w:color="559CBE"/>
        <w:bottom w:val="single" w:sz="4" w:space="0" w:color="559CBE"/>
        <w:right w:val="single" w:sz="4" w:space="0" w:color="559CBE"/>
        <w:insideH w:val="single" w:sz="4" w:space="0" w:color="559CBE"/>
        <w:insideV w:val="single" w:sz="4" w:space="0" w:color="559CBE"/>
      </w:tblBorders>
    </w:tblPr>
    <w:tcPr>
      <w:shd w:val="clear" w:color="auto" w:fill="559CBE"/>
    </w:tcPr>
    <w:tblStylePr w:type="firstRow">
      <w:rPr>
        <w:rFonts w:ascii="Arial" w:hAnsi="Arial"/>
        <w:b/>
        <w:color w:val="004F5A" w:themeColor="text1"/>
        <w:sz w:val="20"/>
      </w:rPr>
    </w:tblStylePr>
    <w:tblStylePr w:type="band1Horz">
      <w:tblPr/>
      <w:tcPr>
        <w:shd w:val="clear" w:color="auto" w:fill="ECF4F8"/>
      </w:tcPr>
    </w:tblStylePr>
    <w:tblStylePr w:type="band2Horz">
      <w:tblPr/>
      <w:tcPr>
        <w:shd w:val="clear" w:color="auto" w:fill="BFDAE7"/>
      </w:tcPr>
    </w:tblStylePr>
  </w:style>
  <w:style w:type="table" w:customStyle="1" w:styleId="CTSCCorporateTeal">
    <w:name w:val="C. TSC Corporate Teal"/>
    <w:basedOn w:val="BTSCCorporateGreen"/>
    <w:uiPriority w:val="99"/>
    <w:rsid w:val="000D7EC6"/>
    <w:tblPr>
      <w:tblBorders>
        <w:top w:val="single" w:sz="4" w:space="0" w:color="004F5A" w:themeColor="text1"/>
        <w:left w:val="single" w:sz="4" w:space="0" w:color="004F5A" w:themeColor="text1"/>
        <w:bottom w:val="single" w:sz="4" w:space="0" w:color="004F5A" w:themeColor="text1"/>
        <w:right w:val="single" w:sz="4" w:space="0" w:color="004F5A" w:themeColor="text1"/>
        <w:insideH w:val="single" w:sz="4" w:space="0" w:color="004F5A" w:themeColor="text1"/>
        <w:insideV w:val="single" w:sz="4" w:space="0" w:color="004F5A" w:themeColor="text1"/>
      </w:tblBorders>
    </w:tblPr>
    <w:tcPr>
      <w:shd w:val="clear" w:color="auto" w:fill="auto"/>
    </w:tcPr>
    <w:tblStylePr w:type="firstRow">
      <w:rPr>
        <w:rFonts w:ascii="Arial" w:hAnsi="Arial"/>
        <w:b/>
        <w:color w:val="FFFFFF" w:themeColor="background1"/>
      </w:rPr>
      <w:tblPr/>
      <w:tcPr>
        <w:shd w:val="clear" w:color="auto" w:fill="004F5A" w:themeFill="text1"/>
      </w:tcPr>
    </w:tblStylePr>
    <w:tblStylePr w:type="band1Horz">
      <w:tblPr/>
      <w:tcPr>
        <w:shd w:val="clear" w:color="auto" w:fill="D4F9FF" w:themeFill="text1" w:themeFillTint="1A"/>
      </w:tcPr>
    </w:tblStylePr>
    <w:tblStylePr w:type="band2Horz">
      <w:rPr>
        <w:color w:val="auto"/>
      </w:rPr>
      <w:tblPr/>
      <w:tcPr>
        <w:tcBorders>
          <w:top w:val="single" w:sz="4" w:space="0" w:color="566C11" w:themeColor="background2"/>
          <w:left w:val="single" w:sz="4" w:space="0" w:color="566C11" w:themeColor="background2"/>
          <w:bottom w:val="single" w:sz="4" w:space="0" w:color="566C11" w:themeColor="background2"/>
          <w:right w:val="single" w:sz="4" w:space="0" w:color="566C11" w:themeColor="background2"/>
          <w:insideH w:val="single" w:sz="4" w:space="0" w:color="566C11" w:themeColor="background2"/>
          <w:insideV w:val="single" w:sz="4" w:space="0" w:color="566C11" w:themeColor="background2"/>
        </w:tcBorders>
        <w:shd w:val="clear" w:color="auto" w:fill="95F1FF" w:themeFill="text1" w:themeFillTint="40"/>
      </w:tcPr>
    </w:tblStylePr>
  </w:style>
  <w:style w:type="table" w:styleId="ColorfulGrid-Accent6">
    <w:name w:val="Colorful Grid Accent 6"/>
    <w:basedOn w:val="TableNormal"/>
    <w:uiPriority w:val="73"/>
    <w:rsid w:val="00C70E1B"/>
    <w:rPr>
      <w:color w:val="004F5A" w:themeColor="text1"/>
    </w:rPr>
    <w:tblPr>
      <w:tblStyleRowBandSize w:val="1"/>
      <w:tblStyleColBandSize w:val="1"/>
      <w:tblBorders>
        <w:insideH w:val="single" w:sz="4" w:space="0" w:color="FFFFFF" w:themeColor="background1"/>
      </w:tblBorders>
    </w:tblPr>
    <w:tcPr>
      <w:shd w:val="clear" w:color="auto" w:fill="E3E3F2" w:themeFill="accent6" w:themeFillTint="33"/>
    </w:tcPr>
    <w:tblStylePr w:type="firstRow">
      <w:rPr>
        <w:b/>
        <w:bCs/>
      </w:rPr>
      <w:tblPr/>
      <w:tcPr>
        <w:shd w:val="clear" w:color="auto" w:fill="C7C7E6" w:themeFill="accent6" w:themeFillTint="66"/>
      </w:tcPr>
    </w:tblStylePr>
    <w:tblStylePr w:type="lastRow">
      <w:rPr>
        <w:b/>
        <w:bCs/>
        <w:color w:val="004F5A" w:themeColor="text1"/>
      </w:rPr>
      <w:tblPr/>
      <w:tcPr>
        <w:shd w:val="clear" w:color="auto" w:fill="C7C7E6" w:themeFill="accent6" w:themeFillTint="66"/>
      </w:tcPr>
    </w:tblStylePr>
    <w:tblStylePr w:type="firstCol">
      <w:rPr>
        <w:color w:val="FFFFFF" w:themeColor="background1"/>
      </w:rPr>
      <w:tblPr/>
      <w:tcPr>
        <w:shd w:val="clear" w:color="auto" w:fill="47479F" w:themeFill="accent6" w:themeFillShade="BF"/>
      </w:tcPr>
    </w:tblStylePr>
    <w:tblStylePr w:type="lastCol">
      <w:rPr>
        <w:color w:val="FFFFFF" w:themeColor="background1"/>
      </w:rPr>
      <w:tblPr/>
      <w:tcPr>
        <w:shd w:val="clear" w:color="auto" w:fill="47479F" w:themeFill="accent6" w:themeFillShade="BF"/>
      </w:tcPr>
    </w:tblStylePr>
    <w:tblStylePr w:type="band1Vert">
      <w:tblPr/>
      <w:tcPr>
        <w:shd w:val="clear" w:color="auto" w:fill="B9B9E0" w:themeFill="accent6" w:themeFillTint="7F"/>
      </w:tcPr>
    </w:tblStylePr>
    <w:tblStylePr w:type="band1Horz">
      <w:tblPr/>
      <w:tcPr>
        <w:shd w:val="clear" w:color="auto" w:fill="B9B9E0" w:themeFill="accent6" w:themeFillTint="7F"/>
      </w:tcPr>
    </w:tblStylePr>
  </w:style>
  <w:style w:type="table" w:customStyle="1" w:styleId="ITSCTableHeritageGrey">
    <w:name w:val="I. TSC Table Heritage Grey"/>
    <w:basedOn w:val="TableNormal"/>
    <w:uiPriority w:val="99"/>
    <w:qFormat/>
    <w:rsid w:val="0095260D"/>
    <w:rPr>
      <w:rFonts w:ascii="Arial" w:hAnsi="Arial"/>
    </w:rPr>
    <w:tblPr>
      <w:tblStyleRowBandSize w:val="1"/>
      <w:tblBorders>
        <w:top w:val="single" w:sz="4" w:space="0" w:color="7D6A55"/>
        <w:left w:val="single" w:sz="4" w:space="0" w:color="7D6A55"/>
        <w:bottom w:val="single" w:sz="4" w:space="0" w:color="7D6A55"/>
        <w:right w:val="single" w:sz="4" w:space="0" w:color="7D6A55"/>
        <w:insideH w:val="single" w:sz="4" w:space="0" w:color="7D6A55"/>
        <w:insideV w:val="single" w:sz="4" w:space="0" w:color="7D6A55"/>
      </w:tblBorders>
    </w:tblPr>
    <w:tblStylePr w:type="firstRow">
      <w:rPr>
        <w:rFonts w:ascii="Arial" w:hAnsi="Arial"/>
        <w:b/>
        <w:color w:val="004F5A" w:themeColor="text1"/>
      </w:rPr>
      <w:tblPr/>
      <w:tcPr>
        <w:shd w:val="clear" w:color="auto" w:fill="937C63"/>
      </w:tcPr>
    </w:tblStylePr>
    <w:tblStylePr w:type="band1Horz">
      <w:tblPr/>
      <w:tcPr>
        <w:shd w:val="clear" w:color="auto" w:fill="F0ECE8"/>
      </w:tcPr>
    </w:tblStylePr>
    <w:tblStylePr w:type="band2Horz">
      <w:tblPr/>
      <w:tcPr>
        <w:shd w:val="clear" w:color="auto" w:fill="E3DBD3"/>
      </w:tcPr>
    </w:tblStylePr>
  </w:style>
  <w:style w:type="table" w:customStyle="1" w:styleId="ETSCTableCoolamonRouge">
    <w:name w:val="E. TSC Table Coolamon Rouge"/>
    <w:basedOn w:val="TableNormal"/>
    <w:uiPriority w:val="99"/>
    <w:qFormat/>
    <w:rsid w:val="0095260D"/>
    <w:rPr>
      <w:rFonts w:ascii="Arial" w:hAnsi="Arial"/>
    </w:rPr>
    <w:tblPr>
      <w:tblStyleRowBandSize w:val="1"/>
      <w:tblBorders>
        <w:top w:val="single" w:sz="4" w:space="0" w:color="B60050"/>
        <w:left w:val="single" w:sz="4" w:space="0" w:color="B60050"/>
        <w:bottom w:val="single" w:sz="4" w:space="0" w:color="B60050"/>
        <w:right w:val="single" w:sz="4" w:space="0" w:color="B60050"/>
        <w:insideH w:val="single" w:sz="4" w:space="0" w:color="B60050"/>
        <w:insideV w:val="single" w:sz="4" w:space="0" w:color="B60050"/>
      </w:tblBorders>
    </w:tblPr>
    <w:tcPr>
      <w:shd w:val="clear" w:color="auto" w:fill="auto"/>
    </w:tcPr>
    <w:tblStylePr w:type="firstRow">
      <w:rPr>
        <w:rFonts w:ascii="Arial" w:hAnsi="Arial"/>
        <w:b/>
        <w:color w:val="004F5A" w:themeColor="text1"/>
      </w:rPr>
      <w:tblPr/>
      <w:tcPr>
        <w:tcBorders>
          <w:top w:val="single" w:sz="4" w:space="0" w:color="B60050"/>
          <w:left w:val="single" w:sz="4" w:space="0" w:color="B60050"/>
          <w:bottom w:val="single" w:sz="4" w:space="0" w:color="B60050"/>
          <w:right w:val="single" w:sz="4" w:space="0" w:color="B60050"/>
          <w:insideH w:val="single" w:sz="4" w:space="0" w:color="B60050"/>
          <w:insideV w:val="single" w:sz="4" w:space="0" w:color="B60050"/>
        </w:tcBorders>
        <w:shd w:val="clear" w:color="auto" w:fill="B60050"/>
      </w:tcPr>
    </w:tblStylePr>
    <w:tblStylePr w:type="band1Horz">
      <w:tblPr/>
      <w:tcPr>
        <w:shd w:val="clear" w:color="auto" w:fill="FFE5F0"/>
      </w:tcPr>
    </w:tblStylePr>
    <w:tblStylePr w:type="band2Horz">
      <w:tblPr/>
      <w:tcPr>
        <w:shd w:val="clear" w:color="auto" w:fill="FFC9E0"/>
      </w:tcPr>
    </w:tblStylePr>
  </w:style>
  <w:style w:type="table" w:customStyle="1" w:styleId="FTSCTableHeritageOrange">
    <w:name w:val="F. TSC Table Heritage Orange"/>
    <w:basedOn w:val="TableNormal"/>
    <w:uiPriority w:val="99"/>
    <w:qFormat/>
    <w:rsid w:val="0095260D"/>
    <w:rPr>
      <w:rFonts w:ascii="Arial" w:hAnsi="Arial"/>
    </w:rPr>
    <w:tblPr>
      <w:tblStyleRowBandSize w:val="1"/>
      <w:tblBorders>
        <w:top w:val="single" w:sz="4" w:space="0" w:color="CF7019"/>
        <w:left w:val="single" w:sz="4" w:space="0" w:color="CF7019"/>
        <w:bottom w:val="single" w:sz="4" w:space="0" w:color="CF7019"/>
        <w:right w:val="single" w:sz="4" w:space="0" w:color="CF7019"/>
        <w:insideH w:val="single" w:sz="4" w:space="0" w:color="CF7019"/>
        <w:insideV w:val="single" w:sz="4" w:space="0" w:color="CF7019"/>
      </w:tblBorders>
    </w:tblPr>
    <w:tblStylePr w:type="firstRow">
      <w:rPr>
        <w:rFonts w:ascii="Arial" w:hAnsi="Arial"/>
        <w:b/>
        <w:color w:val="004F5A" w:themeColor="text1"/>
      </w:rPr>
      <w:tblPr/>
      <w:tcPr>
        <w:shd w:val="clear" w:color="auto" w:fill="CF7019"/>
      </w:tcPr>
    </w:tblStylePr>
    <w:tblStylePr w:type="band1Horz">
      <w:tblPr/>
      <w:tcPr>
        <w:shd w:val="clear" w:color="auto" w:fill="FBEDE1"/>
      </w:tcPr>
    </w:tblStylePr>
    <w:tblStylePr w:type="band2Horz">
      <w:tblPr/>
      <w:tcPr>
        <w:shd w:val="clear" w:color="auto" w:fill="F7D9C1"/>
      </w:tcPr>
    </w:tblStylePr>
  </w:style>
  <w:style w:type="table" w:customStyle="1" w:styleId="JTSCTableVibrantYellow">
    <w:name w:val="J. TSC Table Vibrant Yellow"/>
    <w:basedOn w:val="TableNormal"/>
    <w:uiPriority w:val="99"/>
    <w:qFormat/>
    <w:rsid w:val="0095260D"/>
    <w:rPr>
      <w:rFonts w:ascii="Arial" w:hAnsi="Arial"/>
    </w:rPr>
    <w:tblPr>
      <w:tblStyleRowBandSize w:val="1"/>
      <w:tblBorders>
        <w:top w:val="single" w:sz="4" w:space="0" w:color="C5960B"/>
        <w:left w:val="single" w:sz="4" w:space="0" w:color="C5960B"/>
        <w:bottom w:val="single" w:sz="4" w:space="0" w:color="C5960B"/>
        <w:right w:val="single" w:sz="4" w:space="0" w:color="C5960B"/>
        <w:insideH w:val="single" w:sz="4" w:space="0" w:color="C5960B"/>
        <w:insideV w:val="single" w:sz="4" w:space="0" w:color="C5960B"/>
      </w:tblBorders>
    </w:tblPr>
    <w:tcPr>
      <w:shd w:val="clear" w:color="auto" w:fill="auto"/>
    </w:tcPr>
    <w:tblStylePr w:type="firstRow">
      <w:rPr>
        <w:rFonts w:ascii="Arial" w:hAnsi="Arial"/>
        <w:b/>
        <w:color w:val="004F5A" w:themeColor="text1"/>
        <w:sz w:val="20"/>
      </w:rPr>
      <w:tblPr/>
      <w:tcPr>
        <w:shd w:val="clear" w:color="auto" w:fill="C5960B"/>
      </w:tcPr>
    </w:tblStylePr>
    <w:tblStylePr w:type="band1Horz">
      <w:tblPr/>
      <w:tcPr>
        <w:shd w:val="clear" w:color="auto" w:fill="FDF3D7"/>
      </w:tcPr>
    </w:tblStylePr>
    <w:tblStylePr w:type="band2Horz">
      <w:tblPr/>
      <w:tcPr>
        <w:shd w:val="clear" w:color="auto" w:fill="FAE2A0"/>
      </w:tcPr>
    </w:tblStylePr>
  </w:style>
  <w:style w:type="table" w:customStyle="1" w:styleId="HTSCTableSugarCaneGreen">
    <w:name w:val="H. TSC Table Sugar Cane Green"/>
    <w:basedOn w:val="TableNormal"/>
    <w:uiPriority w:val="99"/>
    <w:qFormat/>
    <w:rsid w:val="0095260D"/>
    <w:rPr>
      <w:rFonts w:ascii="Arial" w:hAnsi="Arial"/>
    </w:rPr>
    <w:tblPr>
      <w:tblStyleRowBandSize w:val="1"/>
      <w:tblBorders>
        <w:top w:val="single" w:sz="4" w:space="0" w:color="6D8D23"/>
        <w:left w:val="single" w:sz="4" w:space="0" w:color="6D8D23"/>
        <w:bottom w:val="single" w:sz="4" w:space="0" w:color="6D8D23"/>
        <w:right w:val="single" w:sz="4" w:space="0" w:color="6D8D23"/>
        <w:insideH w:val="single" w:sz="4" w:space="0" w:color="6D8D23"/>
        <w:insideV w:val="single" w:sz="4" w:space="0" w:color="6D8D23"/>
      </w:tblBorders>
    </w:tblPr>
    <w:tcPr>
      <w:shd w:val="clear" w:color="auto" w:fill="auto"/>
    </w:tcPr>
    <w:tblStylePr w:type="firstRow">
      <w:rPr>
        <w:b/>
        <w:color w:val="004F5A" w:themeColor="text1"/>
      </w:rPr>
      <w:tblPr/>
      <w:tcPr>
        <w:shd w:val="clear" w:color="auto" w:fill="6D8D23"/>
      </w:tcPr>
    </w:tblStylePr>
    <w:tblStylePr w:type="band1Horz">
      <w:tblPr/>
      <w:tcPr>
        <w:shd w:val="clear" w:color="auto" w:fill="EAF4D4"/>
      </w:tcPr>
    </w:tblStylePr>
    <w:tblStylePr w:type="band2Horz">
      <w:rPr>
        <w:rFonts w:ascii="Arial" w:hAnsi="Arial"/>
        <w:sz w:val="20"/>
      </w:rPr>
      <w:tblPr/>
      <w:tcPr>
        <w:shd w:val="clear" w:color="auto" w:fill="D8EBAF"/>
      </w:tcPr>
    </w:tblStylePr>
  </w:style>
  <w:style w:type="paragraph" w:styleId="Header">
    <w:name w:val="header"/>
    <w:basedOn w:val="Normal"/>
    <w:link w:val="HeaderChar"/>
    <w:rsid w:val="00EC6780"/>
    <w:pPr>
      <w:tabs>
        <w:tab w:val="center" w:pos="4513"/>
        <w:tab w:val="right" w:pos="9026"/>
      </w:tabs>
    </w:pPr>
  </w:style>
  <w:style w:type="character" w:customStyle="1" w:styleId="HeaderChar">
    <w:name w:val="Header Char"/>
    <w:basedOn w:val="DefaultParagraphFont"/>
    <w:link w:val="Header"/>
    <w:rsid w:val="00EC6780"/>
    <w:rPr>
      <w:rFonts w:ascii="Arial" w:hAnsi="Arial" w:cs="Arial"/>
      <w:sz w:val="24"/>
      <w:szCs w:val="24"/>
      <w:lang w:eastAsia="en-US"/>
    </w:rPr>
  </w:style>
  <w:style w:type="paragraph" w:styleId="Footer">
    <w:name w:val="footer"/>
    <w:basedOn w:val="Normal"/>
    <w:link w:val="FooterChar"/>
    <w:rsid w:val="00EC6780"/>
    <w:pPr>
      <w:tabs>
        <w:tab w:val="center" w:pos="4513"/>
        <w:tab w:val="right" w:pos="9026"/>
      </w:tabs>
    </w:pPr>
  </w:style>
  <w:style w:type="character" w:customStyle="1" w:styleId="FooterChar">
    <w:name w:val="Footer Char"/>
    <w:basedOn w:val="DefaultParagraphFont"/>
    <w:link w:val="Footer"/>
    <w:rsid w:val="00EC6780"/>
    <w:rPr>
      <w:rFonts w:ascii="Arial" w:hAnsi="Arial" w:cs="Arial"/>
      <w:sz w:val="24"/>
      <w:szCs w:val="24"/>
      <w:lang w:eastAsia="en-US"/>
    </w:rPr>
  </w:style>
  <w:style w:type="paragraph" w:styleId="TOC1">
    <w:name w:val="toc 1"/>
    <w:basedOn w:val="Normal"/>
    <w:next w:val="Normal"/>
    <w:autoRedefine/>
    <w:uiPriority w:val="39"/>
    <w:rsid w:val="00D9455F"/>
    <w:pPr>
      <w:spacing w:after="100"/>
    </w:pPr>
  </w:style>
  <w:style w:type="paragraph" w:styleId="TOC2">
    <w:name w:val="toc 2"/>
    <w:basedOn w:val="Normal"/>
    <w:next w:val="Normal"/>
    <w:autoRedefine/>
    <w:uiPriority w:val="39"/>
    <w:rsid w:val="00D9455F"/>
    <w:pPr>
      <w:spacing w:after="100"/>
      <w:ind w:left="240"/>
    </w:pPr>
  </w:style>
  <w:style w:type="paragraph" w:styleId="TOC3">
    <w:name w:val="toc 3"/>
    <w:basedOn w:val="Normal"/>
    <w:next w:val="Normal"/>
    <w:autoRedefine/>
    <w:uiPriority w:val="39"/>
    <w:rsid w:val="00D9455F"/>
    <w:pPr>
      <w:spacing w:after="100"/>
      <w:ind w:left="480"/>
    </w:pPr>
  </w:style>
  <w:style w:type="character" w:styleId="Hyperlink">
    <w:name w:val="Hyperlink"/>
    <w:basedOn w:val="DefaultParagraphFont"/>
    <w:uiPriority w:val="99"/>
    <w:unhideWhenUsed/>
    <w:rsid w:val="00D9455F"/>
    <w:rPr>
      <w:color w:val="559CBE" w:themeColor="hyperlink"/>
      <w:u w:val="single"/>
    </w:rPr>
  </w:style>
  <w:style w:type="paragraph" w:styleId="TOC4">
    <w:name w:val="toc 4"/>
    <w:basedOn w:val="Normal"/>
    <w:next w:val="Normal"/>
    <w:autoRedefine/>
    <w:rsid w:val="00D9455F"/>
    <w:pPr>
      <w:spacing w:after="100"/>
      <w:ind w:left="720"/>
    </w:pPr>
  </w:style>
  <w:style w:type="paragraph" w:styleId="TOC5">
    <w:name w:val="toc 5"/>
    <w:basedOn w:val="Normal"/>
    <w:next w:val="Normal"/>
    <w:autoRedefine/>
    <w:rsid w:val="00D9455F"/>
    <w:pPr>
      <w:spacing w:after="100"/>
      <w:ind w:left="960"/>
    </w:pPr>
  </w:style>
  <w:style w:type="paragraph" w:styleId="TOC6">
    <w:name w:val="toc 6"/>
    <w:basedOn w:val="Normal"/>
    <w:next w:val="Normal"/>
    <w:autoRedefine/>
    <w:rsid w:val="00D9455F"/>
    <w:pPr>
      <w:spacing w:after="100"/>
      <w:ind w:left="1200"/>
    </w:pPr>
  </w:style>
  <w:style w:type="paragraph" w:styleId="TOC7">
    <w:name w:val="toc 7"/>
    <w:basedOn w:val="Normal"/>
    <w:next w:val="Normal"/>
    <w:autoRedefine/>
    <w:rsid w:val="00D9455F"/>
    <w:pPr>
      <w:spacing w:after="100"/>
      <w:ind w:left="1440"/>
    </w:pPr>
  </w:style>
  <w:style w:type="paragraph" w:styleId="TOC8">
    <w:name w:val="toc 8"/>
    <w:basedOn w:val="Normal"/>
    <w:next w:val="Normal"/>
    <w:autoRedefine/>
    <w:rsid w:val="00D9455F"/>
    <w:pPr>
      <w:spacing w:after="100"/>
      <w:ind w:left="1680"/>
    </w:pPr>
  </w:style>
  <w:style w:type="paragraph" w:styleId="TOC9">
    <w:name w:val="toc 9"/>
    <w:basedOn w:val="Normal"/>
    <w:next w:val="Normal"/>
    <w:autoRedefine/>
    <w:rsid w:val="00D9455F"/>
    <w:pPr>
      <w:spacing w:after="100"/>
      <w:ind w:left="1920"/>
    </w:pPr>
  </w:style>
  <w:style w:type="paragraph" w:styleId="TOCHeading">
    <w:name w:val="TOC Heading"/>
    <w:basedOn w:val="Heading1"/>
    <w:next w:val="Normal"/>
    <w:uiPriority w:val="39"/>
    <w:semiHidden/>
    <w:unhideWhenUsed/>
    <w:qFormat/>
    <w:rsid w:val="00D9455F"/>
    <w:pPr>
      <w:keepLines/>
      <w:spacing w:before="480" w:after="0" w:line="276" w:lineRule="auto"/>
      <w:outlineLvl w:val="9"/>
    </w:pPr>
    <w:rPr>
      <w:rFonts w:asciiTheme="majorHAnsi" w:eastAsiaTheme="majorEastAsia" w:hAnsiTheme="majorHAnsi" w:cstheme="majorBidi"/>
      <w:color w:val="51691A" w:themeColor="accent1" w:themeShade="BF"/>
      <w:kern w:val="0"/>
      <w:lang w:val="en-US"/>
    </w:rPr>
  </w:style>
  <w:style w:type="table" w:styleId="LightShading-Accent1">
    <w:name w:val="Light Shading Accent 1"/>
    <w:basedOn w:val="TableNormal"/>
    <w:uiPriority w:val="60"/>
    <w:rsid w:val="00961584"/>
    <w:rPr>
      <w:color w:val="51691A" w:themeColor="accent1" w:themeShade="BF"/>
    </w:rPr>
    <w:tblPr>
      <w:tblStyleRowBandSize w:val="1"/>
      <w:tblStyleColBandSize w:val="1"/>
      <w:tblBorders>
        <w:top w:val="single" w:sz="8" w:space="0" w:color="6D8D23" w:themeColor="accent1"/>
        <w:bottom w:val="single" w:sz="8" w:space="0" w:color="6D8D23" w:themeColor="accent1"/>
      </w:tblBorders>
    </w:tblPr>
    <w:tblStylePr w:type="firstRow">
      <w:pPr>
        <w:spacing w:before="0" w:after="0" w:line="240" w:lineRule="auto"/>
      </w:pPr>
      <w:rPr>
        <w:b/>
        <w:bCs/>
      </w:rPr>
      <w:tblPr/>
      <w:tcPr>
        <w:tcBorders>
          <w:top w:val="single" w:sz="8" w:space="0" w:color="6D8D23" w:themeColor="accent1"/>
          <w:left w:val="nil"/>
          <w:bottom w:val="single" w:sz="8" w:space="0" w:color="6D8D23" w:themeColor="accent1"/>
          <w:right w:val="nil"/>
          <w:insideH w:val="nil"/>
          <w:insideV w:val="nil"/>
        </w:tcBorders>
      </w:tcPr>
    </w:tblStylePr>
    <w:tblStylePr w:type="lastRow">
      <w:pPr>
        <w:spacing w:before="0" w:after="0" w:line="240" w:lineRule="auto"/>
      </w:pPr>
      <w:rPr>
        <w:b/>
        <w:bCs/>
      </w:rPr>
      <w:tblPr/>
      <w:tcPr>
        <w:tcBorders>
          <w:top w:val="single" w:sz="8" w:space="0" w:color="6D8D23" w:themeColor="accent1"/>
          <w:left w:val="nil"/>
          <w:bottom w:val="single" w:sz="8" w:space="0" w:color="6D8D23"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EEBC" w:themeFill="accent1" w:themeFillTint="3F"/>
      </w:tcPr>
    </w:tblStylePr>
    <w:tblStylePr w:type="band1Horz">
      <w:tblPr/>
      <w:tcPr>
        <w:tcBorders>
          <w:left w:val="nil"/>
          <w:right w:val="nil"/>
          <w:insideH w:val="nil"/>
          <w:insideV w:val="nil"/>
        </w:tcBorders>
        <w:shd w:val="clear" w:color="auto" w:fill="DFEEBC" w:themeFill="accent1" w:themeFillTint="3F"/>
      </w:tcPr>
    </w:tblStylePr>
  </w:style>
  <w:style w:type="table" w:styleId="LightList-Accent1">
    <w:name w:val="Light List Accent 1"/>
    <w:basedOn w:val="TableNormal"/>
    <w:uiPriority w:val="61"/>
    <w:rsid w:val="00961584"/>
    <w:tblPr>
      <w:tblStyleRowBandSize w:val="1"/>
      <w:tblStyleColBandSize w:val="1"/>
      <w:tblBorders>
        <w:top w:val="single" w:sz="8" w:space="0" w:color="6D8D23" w:themeColor="accent1"/>
        <w:left w:val="single" w:sz="8" w:space="0" w:color="6D8D23" w:themeColor="accent1"/>
        <w:bottom w:val="single" w:sz="8" w:space="0" w:color="6D8D23" w:themeColor="accent1"/>
        <w:right w:val="single" w:sz="8" w:space="0" w:color="6D8D23" w:themeColor="accent1"/>
      </w:tblBorders>
    </w:tblPr>
    <w:tblStylePr w:type="firstRow">
      <w:pPr>
        <w:spacing w:before="0" w:after="0" w:line="240" w:lineRule="auto"/>
      </w:pPr>
      <w:rPr>
        <w:b/>
        <w:bCs/>
        <w:color w:val="FFFFFF" w:themeColor="background1"/>
      </w:rPr>
      <w:tblPr/>
      <w:tcPr>
        <w:shd w:val="clear" w:color="auto" w:fill="6D8D23" w:themeFill="accent1"/>
      </w:tcPr>
    </w:tblStylePr>
    <w:tblStylePr w:type="lastRow">
      <w:pPr>
        <w:spacing w:before="0" w:after="0" w:line="240" w:lineRule="auto"/>
      </w:pPr>
      <w:rPr>
        <w:b/>
        <w:bCs/>
      </w:rPr>
      <w:tblPr/>
      <w:tcPr>
        <w:tcBorders>
          <w:top w:val="double" w:sz="6" w:space="0" w:color="6D8D23" w:themeColor="accent1"/>
          <w:left w:val="single" w:sz="8" w:space="0" w:color="6D8D23" w:themeColor="accent1"/>
          <w:bottom w:val="single" w:sz="8" w:space="0" w:color="6D8D23" w:themeColor="accent1"/>
          <w:right w:val="single" w:sz="8" w:space="0" w:color="6D8D23" w:themeColor="accent1"/>
        </w:tcBorders>
      </w:tcPr>
    </w:tblStylePr>
    <w:tblStylePr w:type="firstCol">
      <w:rPr>
        <w:b/>
        <w:bCs/>
      </w:rPr>
    </w:tblStylePr>
    <w:tblStylePr w:type="lastCol">
      <w:rPr>
        <w:b/>
        <w:bCs/>
      </w:rPr>
    </w:tblStylePr>
    <w:tblStylePr w:type="band1Vert">
      <w:tblPr/>
      <w:tcPr>
        <w:tcBorders>
          <w:top w:val="single" w:sz="8" w:space="0" w:color="6D8D23" w:themeColor="accent1"/>
          <w:left w:val="single" w:sz="8" w:space="0" w:color="6D8D23" w:themeColor="accent1"/>
          <w:bottom w:val="single" w:sz="8" w:space="0" w:color="6D8D23" w:themeColor="accent1"/>
          <w:right w:val="single" w:sz="8" w:space="0" w:color="6D8D23" w:themeColor="accent1"/>
        </w:tcBorders>
      </w:tcPr>
    </w:tblStylePr>
    <w:tblStylePr w:type="band1Horz">
      <w:tblPr/>
      <w:tcPr>
        <w:tcBorders>
          <w:top w:val="single" w:sz="8" w:space="0" w:color="6D8D23" w:themeColor="accent1"/>
          <w:left w:val="single" w:sz="8" w:space="0" w:color="6D8D23" w:themeColor="accent1"/>
          <w:bottom w:val="single" w:sz="8" w:space="0" w:color="6D8D23" w:themeColor="accent1"/>
          <w:right w:val="single" w:sz="8" w:space="0" w:color="6D8D23" w:themeColor="accent1"/>
        </w:tcBorders>
      </w:tcPr>
    </w:tblStylePr>
  </w:style>
  <w:style w:type="table" w:styleId="MediumShading1-Accent1">
    <w:name w:val="Medium Shading 1 Accent 1"/>
    <w:basedOn w:val="TableNormal"/>
    <w:uiPriority w:val="63"/>
    <w:rsid w:val="00961584"/>
    <w:tblPr>
      <w:tblStyleRowBandSize w:val="1"/>
      <w:tblStyleColBandSize w:val="1"/>
      <w:tblBorders>
        <w:top w:val="single" w:sz="4" w:space="0" w:color="B2D75E" w:themeColor="accent1" w:themeTint="99"/>
        <w:left w:val="single" w:sz="4" w:space="0" w:color="B2D75E" w:themeColor="accent1" w:themeTint="99"/>
        <w:bottom w:val="single" w:sz="4" w:space="0" w:color="B2D75E" w:themeColor="accent1" w:themeTint="99"/>
        <w:right w:val="single" w:sz="4" w:space="0" w:color="B2D75E" w:themeColor="accent1" w:themeTint="99"/>
        <w:insideH w:val="single" w:sz="4" w:space="0" w:color="B2D75E" w:themeColor="accent1" w:themeTint="99"/>
        <w:insideV w:val="single" w:sz="4" w:space="0" w:color="B2D75E" w:themeColor="accent1" w:themeTint="99"/>
      </w:tblBorders>
    </w:tblPr>
    <w:tblStylePr w:type="firstRow">
      <w:pPr>
        <w:spacing w:before="0" w:after="0" w:line="240" w:lineRule="auto"/>
      </w:pPr>
      <w:rPr>
        <w:b/>
        <w:bCs/>
        <w:color w:val="FFFFFF" w:themeColor="background1"/>
      </w:rPr>
      <w:tblPr/>
      <w:tcPr>
        <w:tcBorders>
          <w:top w:val="single" w:sz="8" w:space="0" w:color="9FCD36" w:themeColor="accent1" w:themeTint="BF"/>
          <w:left w:val="single" w:sz="8" w:space="0" w:color="9FCD36" w:themeColor="accent1" w:themeTint="BF"/>
          <w:bottom w:val="single" w:sz="8" w:space="0" w:color="9FCD36" w:themeColor="accent1" w:themeTint="BF"/>
          <w:right w:val="single" w:sz="8" w:space="0" w:color="9FCD36" w:themeColor="accent1" w:themeTint="BF"/>
          <w:insideH w:val="nil"/>
          <w:insideV w:val="nil"/>
        </w:tcBorders>
        <w:shd w:val="clear" w:color="auto" w:fill="6D8D23" w:themeFill="accent1"/>
      </w:tcPr>
    </w:tblStylePr>
    <w:tblStylePr w:type="lastRow">
      <w:pPr>
        <w:spacing w:before="0" w:after="0" w:line="240" w:lineRule="auto"/>
      </w:pPr>
      <w:rPr>
        <w:b/>
        <w:bCs/>
      </w:rPr>
      <w:tblPr/>
      <w:tcPr>
        <w:tcBorders>
          <w:top w:val="double" w:sz="6" w:space="0" w:color="9FCD36" w:themeColor="accent1" w:themeTint="BF"/>
          <w:left w:val="single" w:sz="8" w:space="0" w:color="9FCD36" w:themeColor="accent1" w:themeTint="BF"/>
          <w:bottom w:val="single" w:sz="8" w:space="0" w:color="9FCD36" w:themeColor="accent1" w:themeTint="BF"/>
          <w:right w:val="single" w:sz="8" w:space="0" w:color="9FCD36" w:themeColor="accent1" w:themeTint="BF"/>
          <w:insideH w:val="nil"/>
          <w:insideV w:val="nil"/>
        </w:tcBorders>
      </w:tcPr>
    </w:tblStylePr>
    <w:tblStylePr w:type="firstCol">
      <w:rPr>
        <w:b/>
        <w:bCs/>
      </w:rPr>
    </w:tblStylePr>
    <w:tblStylePr w:type="lastCol">
      <w:rPr>
        <w:b/>
        <w:bCs/>
      </w:rPr>
    </w:tblStylePr>
    <w:tblStylePr w:type="band1Vert">
      <w:tblPr/>
      <w:tcPr>
        <w:shd w:val="clear" w:color="auto" w:fill="DFEEBC" w:themeFill="accent1" w:themeFillTint="3F"/>
      </w:tcPr>
    </w:tblStylePr>
    <w:tblStylePr w:type="band1Horz">
      <w:tblPr/>
      <w:tcPr>
        <w:tcBorders>
          <w:insideH w:val="nil"/>
          <w:insideV w:val="nil"/>
        </w:tcBorders>
        <w:shd w:val="clear" w:color="auto" w:fill="DFEEBC" w:themeFill="accent1" w:themeFillTint="3F"/>
      </w:tcPr>
    </w:tblStylePr>
    <w:tblStylePr w:type="band2Horz">
      <w:tblPr/>
      <w:tcPr>
        <w:tcBorders>
          <w:insideH w:val="nil"/>
          <w:insideV w:val="nil"/>
        </w:tcBorders>
      </w:tcPr>
    </w:tblStylePr>
  </w:style>
  <w:style w:type="table" w:styleId="TableList6">
    <w:name w:val="Table List 6"/>
    <w:basedOn w:val="TableNormal"/>
    <w:rsid w:val="00961584"/>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1">
    <w:name w:val="Table List 1"/>
    <w:basedOn w:val="TableNormal"/>
    <w:rsid w:val="00961584"/>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ColorfulList-Accent3">
    <w:name w:val="Colorful List Accent 3"/>
    <w:basedOn w:val="TableNormal"/>
    <w:uiPriority w:val="72"/>
    <w:rsid w:val="00511D77"/>
    <w:rPr>
      <w:color w:val="004F5A" w:themeColor="text1"/>
    </w:rPr>
    <w:tblPr>
      <w:tblStyleRowBandSize w:val="1"/>
      <w:tblStyleColBandSize w:val="1"/>
    </w:tblPr>
    <w:tcPr>
      <w:shd w:val="clear" w:color="auto" w:fill="EEF5F8" w:themeFill="accent3" w:themeFillTint="19"/>
    </w:tcPr>
    <w:tblStylePr w:type="firstRow">
      <w:rPr>
        <w:b/>
        <w:bCs/>
        <w:color w:val="FFFFFF" w:themeColor="background1"/>
      </w:rPr>
      <w:tblPr/>
      <w:tcPr>
        <w:tcBorders>
          <w:bottom w:val="single" w:sz="12" w:space="0" w:color="FFFFFF" w:themeColor="background1"/>
        </w:tcBorders>
        <w:shd w:val="clear" w:color="auto" w:fill="91003F" w:themeFill="accent4" w:themeFillShade="CC"/>
      </w:tcPr>
    </w:tblStylePr>
    <w:tblStylePr w:type="lastRow">
      <w:rPr>
        <w:b/>
        <w:bCs/>
        <w:color w:val="91003F" w:themeColor="accent4" w:themeShade="CC"/>
      </w:rPr>
      <w:tblPr/>
      <w:tcPr>
        <w:tcBorders>
          <w:top w:val="single" w:sz="12" w:space="0" w:color="004F5A"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4E6EF" w:themeFill="accent3" w:themeFillTint="3F"/>
      </w:tcPr>
    </w:tblStylePr>
    <w:tblStylePr w:type="band1Horz">
      <w:tblPr/>
      <w:tcPr>
        <w:shd w:val="clear" w:color="auto" w:fill="DDEBF2" w:themeFill="accent3" w:themeFillTint="33"/>
      </w:tcPr>
    </w:tblStylePr>
  </w:style>
  <w:style w:type="table" w:customStyle="1" w:styleId="KTSCTableNativeViolet">
    <w:name w:val="K. TSC Table Native Violet"/>
    <w:basedOn w:val="ETSCTableCoolamonRouge"/>
    <w:uiPriority w:val="99"/>
    <w:rsid w:val="000D7EC6"/>
    <w:tblPr>
      <w:tblBorders>
        <w:top w:val="single" w:sz="4" w:space="0" w:color="7474C1" w:themeColor="accent6"/>
        <w:left w:val="single" w:sz="4" w:space="0" w:color="7474C1" w:themeColor="accent6"/>
        <w:bottom w:val="single" w:sz="4" w:space="0" w:color="7474C1" w:themeColor="accent6"/>
        <w:right w:val="single" w:sz="4" w:space="0" w:color="7474C1" w:themeColor="accent6"/>
        <w:insideH w:val="single" w:sz="4" w:space="0" w:color="7474C1" w:themeColor="accent6"/>
        <w:insideV w:val="single" w:sz="4" w:space="0" w:color="7474C1" w:themeColor="accent6"/>
      </w:tblBorders>
    </w:tblPr>
    <w:tcPr>
      <w:shd w:val="clear" w:color="auto" w:fill="auto"/>
    </w:tcPr>
    <w:tblStylePr w:type="firstRow">
      <w:rPr>
        <w:rFonts w:ascii="Arial" w:hAnsi="Arial"/>
        <w:b/>
        <w:color w:val="004F5A" w:themeColor="text1"/>
      </w:rPr>
      <w:tblPr/>
      <w:tcPr>
        <w:tcBorders>
          <w:top w:val="single" w:sz="4" w:space="0" w:color="7474C1" w:themeColor="accent6"/>
          <w:left w:val="single" w:sz="4" w:space="0" w:color="7474C1" w:themeColor="accent6"/>
          <w:bottom w:val="single" w:sz="4" w:space="0" w:color="7474C1" w:themeColor="accent6"/>
          <w:right w:val="single" w:sz="4" w:space="0" w:color="7474C1" w:themeColor="accent6"/>
          <w:insideH w:val="single" w:sz="4" w:space="0" w:color="7474C1" w:themeColor="accent6"/>
          <w:insideV w:val="single" w:sz="4" w:space="0" w:color="7474C1" w:themeColor="accent6"/>
        </w:tcBorders>
        <w:shd w:val="clear" w:color="auto" w:fill="7474C1" w:themeFill="accent6"/>
      </w:tcPr>
    </w:tblStylePr>
    <w:tblStylePr w:type="band1Horz">
      <w:tblPr/>
      <w:tcPr>
        <w:shd w:val="clear" w:color="auto" w:fill="E3E3F2" w:themeFill="accent6" w:themeFillTint="33"/>
      </w:tcPr>
    </w:tblStylePr>
    <w:tblStylePr w:type="band2Horz">
      <w:tblPr/>
      <w:tcPr>
        <w:shd w:val="clear" w:color="auto" w:fill="C7C7E6" w:themeFill="accent6" w:themeFillTint="66"/>
      </w:tcPr>
    </w:tblStylePr>
  </w:style>
  <w:style w:type="table" w:customStyle="1" w:styleId="LTSCTableCoastalBlue">
    <w:name w:val="L. TSC Table Coastal Blue"/>
    <w:basedOn w:val="ETSCTableCoolamonRouge"/>
    <w:uiPriority w:val="99"/>
    <w:rsid w:val="000D7EC6"/>
    <w:tblPr>
      <w:tblBorders>
        <w:top w:val="single" w:sz="4" w:space="0" w:color="00B2A9" w:themeColor="accent5"/>
        <w:left w:val="single" w:sz="4" w:space="0" w:color="00B2A9" w:themeColor="accent5"/>
        <w:bottom w:val="single" w:sz="4" w:space="0" w:color="00B2A9" w:themeColor="accent5"/>
        <w:right w:val="single" w:sz="4" w:space="0" w:color="00B2A9" w:themeColor="accent5"/>
        <w:insideH w:val="single" w:sz="4" w:space="0" w:color="00B2A9" w:themeColor="accent5"/>
        <w:insideV w:val="single" w:sz="4" w:space="0" w:color="00B2A9" w:themeColor="accent5"/>
      </w:tblBorders>
    </w:tblPr>
    <w:tcPr>
      <w:shd w:val="clear" w:color="auto" w:fill="auto"/>
    </w:tcPr>
    <w:tblStylePr w:type="firstRow">
      <w:rPr>
        <w:rFonts w:ascii="Arial" w:hAnsi="Arial"/>
        <w:b/>
        <w:color w:val="004F5A" w:themeColor="text1"/>
      </w:rPr>
      <w:tblPr/>
      <w:tcPr>
        <w:tcBorders>
          <w:top w:val="single" w:sz="4" w:space="0" w:color="00B2A9" w:themeColor="accent5"/>
          <w:left w:val="single" w:sz="4" w:space="0" w:color="00B2A9" w:themeColor="accent5"/>
          <w:bottom w:val="single" w:sz="4" w:space="0" w:color="00B2A9" w:themeColor="accent5"/>
          <w:right w:val="single" w:sz="4" w:space="0" w:color="00B2A9" w:themeColor="accent5"/>
          <w:insideH w:val="single" w:sz="4" w:space="0" w:color="00B2A9" w:themeColor="accent5"/>
          <w:insideV w:val="single" w:sz="4" w:space="0" w:color="00B2A9" w:themeColor="accent5"/>
        </w:tcBorders>
        <w:shd w:val="clear" w:color="auto" w:fill="00B2A9" w:themeFill="accent5"/>
      </w:tcPr>
    </w:tblStylePr>
    <w:tblStylePr w:type="band1Horz">
      <w:tblPr/>
      <w:tcPr>
        <w:shd w:val="clear" w:color="auto" w:fill="BCFFFB" w:themeFill="accent5" w:themeFillTint="33"/>
      </w:tcPr>
    </w:tblStylePr>
    <w:tblStylePr w:type="band2Horz">
      <w:tblPr/>
      <w:tcPr>
        <w:shd w:val="clear" w:color="auto" w:fill="7AFFF8" w:themeFill="accent5" w:themeFillTint="66"/>
      </w:tcPr>
    </w:tblStylePr>
  </w:style>
  <w:style w:type="table" w:customStyle="1" w:styleId="DTSCCorporateSand">
    <w:name w:val="D. TSC Corporate Sand"/>
    <w:basedOn w:val="BTSCCorporateGreen"/>
    <w:uiPriority w:val="99"/>
    <w:rsid w:val="000D7EC6"/>
    <w:tblPr>
      <w:tblBorders>
        <w:top w:val="single" w:sz="4" w:space="0" w:color="B3AA7E" w:themeColor="text2"/>
        <w:left w:val="single" w:sz="4" w:space="0" w:color="B3AA7E" w:themeColor="text2"/>
        <w:bottom w:val="single" w:sz="4" w:space="0" w:color="B3AA7E" w:themeColor="text2"/>
        <w:right w:val="single" w:sz="4" w:space="0" w:color="B3AA7E" w:themeColor="text2"/>
        <w:insideH w:val="single" w:sz="4" w:space="0" w:color="B3AA7E" w:themeColor="text2"/>
        <w:insideV w:val="single" w:sz="4" w:space="0" w:color="B3AA7E" w:themeColor="text2"/>
      </w:tblBorders>
    </w:tblPr>
    <w:tcPr>
      <w:shd w:val="clear" w:color="auto" w:fill="B3AA7E" w:themeFill="text2"/>
    </w:tcPr>
    <w:tblStylePr w:type="firstRow">
      <w:rPr>
        <w:rFonts w:ascii="Arial" w:hAnsi="Arial"/>
        <w:b/>
        <w:color w:val="004F5A" w:themeColor="text1"/>
      </w:rPr>
      <w:tblPr/>
      <w:tcPr>
        <w:shd w:val="clear" w:color="auto" w:fill="B3AA7E" w:themeFill="text2"/>
      </w:tcPr>
    </w:tblStylePr>
    <w:tblStylePr w:type="band1Horz">
      <w:tblPr/>
      <w:tcPr>
        <w:shd w:val="clear" w:color="auto" w:fill="EFEDE5" w:themeFill="text2" w:themeFillTint="33"/>
      </w:tcPr>
    </w:tblStylePr>
    <w:tblStylePr w:type="band2Horz">
      <w:tblPr/>
      <w:tcPr>
        <w:tcBorders>
          <w:top w:val="single" w:sz="4" w:space="0" w:color="B3AA7E" w:themeColor="text2"/>
          <w:left w:val="single" w:sz="4" w:space="0" w:color="B3AA7E" w:themeColor="text2"/>
          <w:bottom w:val="single" w:sz="4" w:space="0" w:color="B3AA7E" w:themeColor="text2"/>
          <w:right w:val="single" w:sz="4" w:space="0" w:color="B3AA7E" w:themeColor="text2"/>
          <w:insideH w:val="single" w:sz="4" w:space="0" w:color="B3AA7E" w:themeColor="text2"/>
          <w:insideV w:val="single" w:sz="4" w:space="0" w:color="B3AA7E" w:themeColor="text2"/>
        </w:tcBorders>
        <w:shd w:val="clear" w:color="auto" w:fill="E0DCCB" w:themeFill="text2" w:themeFillTint="66"/>
      </w:tcPr>
    </w:tblStylePr>
  </w:style>
  <w:style w:type="table" w:customStyle="1" w:styleId="AATSCStandardClean">
    <w:name w:val="AA. TSC Standard Clean"/>
    <w:basedOn w:val="ATSCStandardGrey"/>
    <w:uiPriority w:val="99"/>
    <w:rsid w:val="000D7EC6"/>
    <w:rPr>
      <w:rFonts w:ascii="Arial" w:hAnsi="Arial"/>
    </w:rPr>
    <w:tblPr/>
    <w:tcPr>
      <w:shd w:val="clear" w:color="auto" w:fill="auto"/>
    </w:tcPr>
    <w:tblStylePr w:type="firstRow">
      <w:rPr>
        <w:rFonts w:ascii="Arial" w:hAnsi="Arial"/>
        <w:b/>
      </w:rPr>
      <w:tblPr/>
      <w:tcPr>
        <w:shd w:val="clear" w:color="auto" w:fill="BFBFBF" w:themeFill="background1" w:themeFillShade="BF"/>
      </w:tcPr>
    </w:tblStylePr>
    <w:tblStylePr w:type="band1Horz">
      <w:tblPr/>
      <w:tcPr>
        <w:shd w:val="clear" w:color="auto" w:fill="FFFFFF" w:themeFill="background1"/>
      </w:tcPr>
    </w:tblStylePr>
    <w:tblStylePr w:type="band2Horz">
      <w:rPr>
        <w:rFonts w:asciiTheme="minorHAnsi" w:hAnsiTheme="minorHAnsi"/>
      </w:rPr>
      <w:tblPr/>
      <w:tcPr>
        <w:shd w:val="clear" w:color="auto" w:fill="F2F2F2" w:themeFill="background1" w:themeFillShade="F2"/>
      </w:tcPr>
    </w:tblStylePr>
  </w:style>
  <w:style w:type="character" w:customStyle="1" w:styleId="Heading2Char">
    <w:name w:val="Heading 2 Char"/>
    <w:basedOn w:val="DefaultParagraphFont"/>
    <w:link w:val="Heading2"/>
    <w:rsid w:val="00610495"/>
    <w:rPr>
      <w:rFonts w:ascii="Helvetica" w:hAnsi="Helvetica" w:cs="Arial"/>
      <w:b/>
      <w:bCs/>
      <w:iCs/>
      <w:color w:val="004F5A"/>
      <w:sz w:val="24"/>
      <w:szCs w:val="28"/>
      <w:lang w:eastAsia="en-US"/>
    </w:rPr>
  </w:style>
  <w:style w:type="paragraph" w:styleId="ListParagraph">
    <w:name w:val="List Paragraph"/>
    <w:basedOn w:val="Normal"/>
    <w:uiPriority w:val="34"/>
    <w:qFormat/>
    <w:rsid w:val="00610495"/>
    <w:pPr>
      <w:tabs>
        <w:tab w:val="left" w:pos="567"/>
      </w:tabs>
      <w:ind w:left="720"/>
      <w:contextualSpacing/>
      <w:jc w:val="both"/>
    </w:pPr>
    <w:rPr>
      <w:rFonts w:ascii="Arial" w:hAnsi="Arial" w:cs="Times New Roman"/>
      <w:szCs w:val="20"/>
    </w:rPr>
  </w:style>
  <w:style w:type="paragraph" w:styleId="BodyText">
    <w:name w:val="Body Text"/>
    <w:basedOn w:val="Normal"/>
    <w:link w:val="BodyTextChar"/>
    <w:uiPriority w:val="99"/>
    <w:unhideWhenUsed/>
    <w:rsid w:val="00610495"/>
    <w:pPr>
      <w:spacing w:after="220" w:line="180" w:lineRule="atLeast"/>
      <w:ind w:left="835"/>
      <w:jc w:val="both"/>
    </w:pPr>
    <w:rPr>
      <w:rFonts w:ascii="Arial" w:eastAsiaTheme="minorHAnsi" w:hAnsi="Arial"/>
      <w:spacing w:val="-5"/>
    </w:rPr>
  </w:style>
  <w:style w:type="character" w:customStyle="1" w:styleId="BodyTextChar">
    <w:name w:val="Body Text Char"/>
    <w:basedOn w:val="DefaultParagraphFont"/>
    <w:link w:val="BodyText"/>
    <w:uiPriority w:val="99"/>
    <w:rsid w:val="00610495"/>
    <w:rPr>
      <w:rFonts w:ascii="Arial" w:eastAsiaTheme="minorHAnsi" w:hAnsi="Arial" w:cs="Arial"/>
      <w:spacing w:val="-5"/>
      <w:sz w:val="24"/>
      <w:szCs w:val="24"/>
      <w:lang w:eastAsia="en-US"/>
    </w:rPr>
  </w:style>
  <w:style w:type="character" w:customStyle="1" w:styleId="frag-defterm">
    <w:name w:val="frag-defterm"/>
    <w:basedOn w:val="DefaultParagraphFont"/>
    <w:rsid w:val="00C52198"/>
  </w:style>
  <w:style w:type="paragraph" w:customStyle="1" w:styleId="Pa14">
    <w:name w:val="Pa14"/>
    <w:basedOn w:val="Normal"/>
    <w:uiPriority w:val="99"/>
    <w:rsid w:val="00CB1F28"/>
    <w:pPr>
      <w:autoSpaceDE w:val="0"/>
      <w:autoSpaceDN w:val="0"/>
      <w:spacing w:line="181" w:lineRule="atLeast"/>
    </w:pPr>
    <w:rPr>
      <w:rFonts w:ascii="HelveticaNeueLT Std Cn" w:eastAsiaTheme="minorHAnsi" w:hAnsi="HelveticaNeueLT Std Cn" w:cs="Times New Roman"/>
      <w:lang w:eastAsia="en-AU"/>
    </w:rPr>
  </w:style>
  <w:style w:type="character" w:customStyle="1" w:styleId="A7">
    <w:name w:val="A7"/>
    <w:basedOn w:val="DefaultParagraphFont"/>
    <w:uiPriority w:val="99"/>
    <w:rsid w:val="00CB1F28"/>
    <w:rPr>
      <w:rFonts w:ascii="HelveticaNeueLT Std Cn" w:hAnsi="HelveticaNeueLT Std Cn" w:hint="default"/>
      <w:color w:val="000000"/>
      <w:u w:val="single"/>
    </w:rPr>
  </w:style>
  <w:style w:type="paragraph" w:styleId="PlainText">
    <w:name w:val="Plain Text"/>
    <w:basedOn w:val="Normal"/>
    <w:link w:val="PlainTextChar"/>
    <w:uiPriority w:val="99"/>
    <w:unhideWhenUsed/>
    <w:rsid w:val="007F527E"/>
    <w:rPr>
      <w:rFonts w:ascii="Calibri" w:eastAsiaTheme="minorHAnsi" w:hAnsi="Calibri" w:cstheme="minorBidi"/>
      <w:sz w:val="22"/>
      <w:szCs w:val="21"/>
    </w:rPr>
  </w:style>
  <w:style w:type="character" w:customStyle="1" w:styleId="PlainTextChar">
    <w:name w:val="Plain Text Char"/>
    <w:basedOn w:val="DefaultParagraphFont"/>
    <w:link w:val="PlainText"/>
    <w:uiPriority w:val="99"/>
    <w:rsid w:val="007F527E"/>
    <w:rPr>
      <w:rFonts w:ascii="Calibri" w:eastAsiaTheme="minorHAnsi" w:hAnsi="Calibri" w:cstheme="minorBidi"/>
      <w:sz w:val="22"/>
      <w:szCs w:val="21"/>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04511143">
      <w:bodyDiv w:val="1"/>
      <w:marLeft w:val="0"/>
      <w:marRight w:val="0"/>
      <w:marTop w:val="0"/>
      <w:marBottom w:val="0"/>
      <w:divBdr>
        <w:top w:val="none" w:sz="0" w:space="0" w:color="auto"/>
        <w:left w:val="none" w:sz="0" w:space="0" w:color="auto"/>
        <w:bottom w:val="none" w:sz="0" w:space="0" w:color="auto"/>
        <w:right w:val="none" w:sz="0" w:space="0" w:color="auto"/>
      </w:divBdr>
    </w:div>
    <w:div w:id="475297817">
      <w:bodyDiv w:val="1"/>
      <w:marLeft w:val="0"/>
      <w:marRight w:val="0"/>
      <w:marTop w:val="0"/>
      <w:marBottom w:val="0"/>
      <w:divBdr>
        <w:top w:val="none" w:sz="0" w:space="0" w:color="auto"/>
        <w:left w:val="none" w:sz="0" w:space="0" w:color="auto"/>
        <w:bottom w:val="none" w:sz="0" w:space="0" w:color="auto"/>
        <w:right w:val="none" w:sz="0" w:space="0" w:color="auto"/>
      </w:divBdr>
    </w:div>
    <w:div w:id="483399361">
      <w:bodyDiv w:val="1"/>
      <w:marLeft w:val="0"/>
      <w:marRight w:val="0"/>
      <w:marTop w:val="0"/>
      <w:marBottom w:val="0"/>
      <w:divBdr>
        <w:top w:val="none" w:sz="0" w:space="0" w:color="auto"/>
        <w:left w:val="none" w:sz="0" w:space="0" w:color="auto"/>
        <w:bottom w:val="none" w:sz="0" w:space="0" w:color="auto"/>
        <w:right w:val="none" w:sz="0" w:space="0" w:color="auto"/>
      </w:divBdr>
    </w:div>
    <w:div w:id="584265000">
      <w:bodyDiv w:val="1"/>
      <w:marLeft w:val="0"/>
      <w:marRight w:val="0"/>
      <w:marTop w:val="0"/>
      <w:marBottom w:val="0"/>
      <w:divBdr>
        <w:top w:val="none" w:sz="0" w:space="0" w:color="auto"/>
        <w:left w:val="none" w:sz="0" w:space="0" w:color="auto"/>
        <w:bottom w:val="none" w:sz="0" w:space="0" w:color="auto"/>
        <w:right w:val="none" w:sz="0" w:space="0" w:color="auto"/>
      </w:divBdr>
    </w:div>
    <w:div w:id="768696196">
      <w:bodyDiv w:val="1"/>
      <w:marLeft w:val="0"/>
      <w:marRight w:val="0"/>
      <w:marTop w:val="0"/>
      <w:marBottom w:val="0"/>
      <w:divBdr>
        <w:top w:val="none" w:sz="0" w:space="0" w:color="auto"/>
        <w:left w:val="none" w:sz="0" w:space="0" w:color="auto"/>
        <w:bottom w:val="none" w:sz="0" w:space="0" w:color="auto"/>
        <w:right w:val="none" w:sz="0" w:space="0" w:color="auto"/>
      </w:divBdr>
    </w:div>
    <w:div w:id="890767731">
      <w:bodyDiv w:val="1"/>
      <w:marLeft w:val="0"/>
      <w:marRight w:val="0"/>
      <w:marTop w:val="0"/>
      <w:marBottom w:val="0"/>
      <w:divBdr>
        <w:top w:val="none" w:sz="0" w:space="0" w:color="auto"/>
        <w:left w:val="none" w:sz="0" w:space="0" w:color="auto"/>
        <w:bottom w:val="none" w:sz="0" w:space="0" w:color="auto"/>
        <w:right w:val="none" w:sz="0" w:space="0" w:color="auto"/>
      </w:divBdr>
    </w:div>
    <w:div w:id="896009385">
      <w:bodyDiv w:val="1"/>
      <w:marLeft w:val="0"/>
      <w:marRight w:val="0"/>
      <w:marTop w:val="0"/>
      <w:marBottom w:val="0"/>
      <w:divBdr>
        <w:top w:val="none" w:sz="0" w:space="0" w:color="auto"/>
        <w:left w:val="none" w:sz="0" w:space="0" w:color="auto"/>
        <w:bottom w:val="none" w:sz="0" w:space="0" w:color="auto"/>
        <w:right w:val="none" w:sz="0" w:space="0" w:color="auto"/>
      </w:divBdr>
    </w:div>
    <w:div w:id="1106732404">
      <w:bodyDiv w:val="1"/>
      <w:marLeft w:val="0"/>
      <w:marRight w:val="0"/>
      <w:marTop w:val="0"/>
      <w:marBottom w:val="0"/>
      <w:divBdr>
        <w:top w:val="none" w:sz="0" w:space="0" w:color="auto"/>
        <w:left w:val="none" w:sz="0" w:space="0" w:color="auto"/>
        <w:bottom w:val="none" w:sz="0" w:space="0" w:color="auto"/>
        <w:right w:val="none" w:sz="0" w:space="0" w:color="auto"/>
      </w:divBdr>
    </w:div>
    <w:div w:id="1406688454">
      <w:bodyDiv w:val="1"/>
      <w:marLeft w:val="0"/>
      <w:marRight w:val="0"/>
      <w:marTop w:val="0"/>
      <w:marBottom w:val="0"/>
      <w:divBdr>
        <w:top w:val="none" w:sz="0" w:space="0" w:color="auto"/>
        <w:left w:val="none" w:sz="0" w:space="0" w:color="auto"/>
        <w:bottom w:val="none" w:sz="0" w:space="0" w:color="auto"/>
        <w:right w:val="none" w:sz="0" w:space="0" w:color="auto"/>
      </w:divBdr>
    </w:div>
    <w:div w:id="1606956612">
      <w:bodyDiv w:val="1"/>
      <w:marLeft w:val="0"/>
      <w:marRight w:val="0"/>
      <w:marTop w:val="0"/>
      <w:marBottom w:val="0"/>
      <w:divBdr>
        <w:top w:val="none" w:sz="0" w:space="0" w:color="auto"/>
        <w:left w:val="none" w:sz="0" w:space="0" w:color="auto"/>
        <w:bottom w:val="none" w:sz="0" w:space="0" w:color="auto"/>
        <w:right w:val="none" w:sz="0" w:space="0" w:color="auto"/>
      </w:divBdr>
    </w:div>
    <w:div w:id="1644771224">
      <w:bodyDiv w:val="1"/>
      <w:marLeft w:val="0"/>
      <w:marRight w:val="0"/>
      <w:marTop w:val="0"/>
      <w:marBottom w:val="0"/>
      <w:divBdr>
        <w:top w:val="none" w:sz="0" w:space="0" w:color="auto"/>
        <w:left w:val="none" w:sz="0" w:space="0" w:color="auto"/>
        <w:bottom w:val="none" w:sz="0" w:space="0" w:color="auto"/>
        <w:right w:val="none" w:sz="0" w:space="0" w:color="auto"/>
      </w:divBdr>
    </w:div>
    <w:div w:id="1652522887">
      <w:bodyDiv w:val="1"/>
      <w:marLeft w:val="0"/>
      <w:marRight w:val="0"/>
      <w:marTop w:val="0"/>
      <w:marBottom w:val="0"/>
      <w:divBdr>
        <w:top w:val="none" w:sz="0" w:space="0" w:color="auto"/>
        <w:left w:val="none" w:sz="0" w:space="0" w:color="auto"/>
        <w:bottom w:val="none" w:sz="0" w:space="0" w:color="auto"/>
        <w:right w:val="none" w:sz="0" w:space="0" w:color="auto"/>
      </w:divBdr>
    </w:div>
    <w:div w:id="1783184620">
      <w:bodyDiv w:val="1"/>
      <w:marLeft w:val="0"/>
      <w:marRight w:val="0"/>
      <w:marTop w:val="0"/>
      <w:marBottom w:val="0"/>
      <w:divBdr>
        <w:top w:val="none" w:sz="0" w:space="0" w:color="auto"/>
        <w:left w:val="none" w:sz="0" w:space="0" w:color="auto"/>
        <w:bottom w:val="none" w:sz="0" w:space="0" w:color="auto"/>
        <w:right w:val="none" w:sz="0" w:space="0" w:color="auto"/>
      </w:divBdr>
    </w:div>
    <w:div w:id="1820071458">
      <w:bodyDiv w:val="1"/>
      <w:marLeft w:val="0"/>
      <w:marRight w:val="0"/>
      <w:marTop w:val="0"/>
      <w:marBottom w:val="0"/>
      <w:divBdr>
        <w:top w:val="none" w:sz="0" w:space="0" w:color="auto"/>
        <w:left w:val="none" w:sz="0" w:space="0" w:color="auto"/>
        <w:bottom w:val="none" w:sz="0" w:space="0" w:color="auto"/>
        <w:right w:val="none" w:sz="0" w:space="0" w:color="auto"/>
      </w:divBdr>
    </w:div>
    <w:div w:id="1822429706">
      <w:bodyDiv w:val="1"/>
      <w:marLeft w:val="0"/>
      <w:marRight w:val="0"/>
      <w:marTop w:val="0"/>
      <w:marBottom w:val="0"/>
      <w:divBdr>
        <w:top w:val="none" w:sz="0" w:space="0" w:color="auto"/>
        <w:left w:val="none" w:sz="0" w:space="0" w:color="auto"/>
        <w:bottom w:val="none" w:sz="0" w:space="0" w:color="auto"/>
        <w:right w:val="none" w:sz="0" w:space="0" w:color="auto"/>
      </w:divBdr>
    </w:div>
    <w:div w:id="1906840057">
      <w:bodyDiv w:val="1"/>
      <w:marLeft w:val="0"/>
      <w:marRight w:val="0"/>
      <w:marTop w:val="0"/>
      <w:marBottom w:val="0"/>
      <w:divBdr>
        <w:top w:val="none" w:sz="0" w:space="0" w:color="auto"/>
        <w:left w:val="none" w:sz="0" w:space="0" w:color="auto"/>
        <w:bottom w:val="none" w:sz="0" w:space="0" w:color="auto"/>
        <w:right w:val="none" w:sz="0" w:space="0" w:color="auto"/>
      </w:divBdr>
    </w:div>
    <w:div w:id="1929578270">
      <w:bodyDiv w:val="1"/>
      <w:marLeft w:val="0"/>
      <w:marRight w:val="0"/>
      <w:marTop w:val="0"/>
      <w:marBottom w:val="0"/>
      <w:divBdr>
        <w:top w:val="none" w:sz="0" w:space="0" w:color="auto"/>
        <w:left w:val="none" w:sz="0" w:space="0" w:color="auto"/>
        <w:bottom w:val="none" w:sz="0" w:space="0" w:color="auto"/>
        <w:right w:val="none" w:sz="0" w:space="0" w:color="auto"/>
      </w:divBdr>
    </w:div>
    <w:div w:id="2050181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5.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4.png"/><Relationship Id="rId38" Type="http://schemas.openxmlformats.org/officeDocument/2006/relationships/image" Target="media/image2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s>
</file>

<file path=word/theme/theme1.xml><?xml version="1.0" encoding="utf-8"?>
<a:theme xmlns:a="http://schemas.openxmlformats.org/drawingml/2006/main" name="Office Theme">
  <a:themeElements>
    <a:clrScheme name="TSC Corporate2">
      <a:dk1>
        <a:srgbClr val="004F5A"/>
      </a:dk1>
      <a:lt1>
        <a:srgbClr val="FFFFFF"/>
      </a:lt1>
      <a:dk2>
        <a:srgbClr val="B3AA7E"/>
      </a:dk2>
      <a:lt2>
        <a:srgbClr val="566C11"/>
      </a:lt2>
      <a:accent1>
        <a:srgbClr val="6D8D23"/>
      </a:accent1>
      <a:accent2>
        <a:srgbClr val="C5960B"/>
      </a:accent2>
      <a:accent3>
        <a:srgbClr val="559CBE"/>
      </a:accent3>
      <a:accent4>
        <a:srgbClr val="B60050"/>
      </a:accent4>
      <a:accent5>
        <a:srgbClr val="00B2A9"/>
      </a:accent5>
      <a:accent6>
        <a:srgbClr val="7474C1"/>
      </a:accent6>
      <a:hlink>
        <a:srgbClr val="559CBE"/>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11461E-C33E-41FF-9A65-2DC7DB1503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3808</TotalTime>
  <Pages>39</Pages>
  <Words>8780</Words>
  <Characters>46958</Characters>
  <Application>Microsoft Office Word</Application>
  <DocSecurity>0</DocSecurity>
  <Lines>1152</Lines>
  <Paragraphs>357</Paragraphs>
  <ScaleCrop>false</ScaleCrop>
  <HeadingPairs>
    <vt:vector size="2" baseType="variant">
      <vt:variant>
        <vt:lpstr>Title</vt:lpstr>
      </vt:variant>
      <vt:variant>
        <vt:i4>1</vt:i4>
      </vt:variant>
    </vt:vector>
  </HeadingPairs>
  <TitlesOfParts>
    <vt:vector size="1" baseType="lpstr">
      <vt:lpstr/>
    </vt:vector>
  </TitlesOfParts>
  <Company>Tweed Shire Council</Company>
  <LinksUpToDate>false</LinksUpToDate>
  <CharactersWithSpaces>55618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David O'Connell</dc:creator>
  <cp:lastModifiedBy>David O'Connell</cp:lastModifiedBy>
  <cp:revision>25</cp:revision>
  <cp:lastPrinted>2017-11-28T03:24:00Z</cp:lastPrinted>
  <dcterms:created xsi:type="dcterms:W3CDTF">2017-11-16T23:47:00Z</dcterms:created>
  <dcterms:modified xsi:type="dcterms:W3CDTF">2017-11-29T05:46:00Z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WDocAuthor">
    <vt:lpwstr/>
  </property>
  <property fmtid="{D5CDD505-2E9C-101B-9397-08002B2CF9AE}" pid="3" name="DWDocClass">
    <vt:lpwstr/>
  </property>
  <property fmtid="{D5CDD505-2E9C-101B-9397-08002B2CF9AE}" pid="4" name="DWDocClassId">
    <vt:lpwstr/>
  </property>
  <property fmtid="{D5CDD505-2E9C-101B-9397-08002B2CF9AE}" pid="5" name="DWDocPrecis">
    <vt:lpwstr>[PR-CM] Development Application DA10/0222.26 for an Amendment to Development Consent DA10/0222 for Casuarina Town Centre Including 56 Lot Subdivision, Road Works, Infrastructure Works and Landscaping (Department of Planning Application MP06_0258) MOD 10 a</vt:lpwstr>
  </property>
  <property fmtid="{D5CDD505-2E9C-101B-9397-08002B2CF9AE}" pid="6" name="DWDocNo">
    <vt:lpwstr/>
  </property>
  <property fmtid="{D5CDD505-2E9C-101B-9397-08002B2CF9AE}" pid="7" name="DWDocSetID">
    <vt:lpwstr/>
  </property>
  <property fmtid="{D5CDD505-2E9C-101B-9397-08002B2CF9AE}" pid="8" name="DWDocType">
    <vt:lpwstr/>
  </property>
  <property fmtid="{D5CDD505-2E9C-101B-9397-08002B2CF9AE}" pid="9" name="DWDocVersion">
    <vt:lpwstr/>
  </property>
</Properties>
</file>